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30" w:rsidRDefault="00664F30" w:rsidP="00094AF0">
      <w:pPr>
        <w:tabs>
          <w:tab w:val="left" w:pos="2410"/>
        </w:tabs>
        <w:spacing w:line="360" w:lineRule="auto"/>
        <w:rPr>
          <w:b/>
          <w:bCs/>
        </w:rPr>
      </w:pPr>
      <w:r>
        <w:rPr>
          <w:b/>
          <w:bCs/>
        </w:rPr>
        <w:t>To:</w:t>
      </w:r>
      <w:r>
        <w:rPr>
          <w:b/>
          <w:bCs/>
        </w:rPr>
        <w:tab/>
        <w:t>Housing and Homelessness Panel</w:t>
      </w:r>
    </w:p>
    <w:p w:rsidR="00664F30" w:rsidRDefault="00664F30" w:rsidP="00094AF0">
      <w:pPr>
        <w:tabs>
          <w:tab w:val="left" w:pos="2410"/>
        </w:tabs>
        <w:spacing w:line="360" w:lineRule="auto"/>
        <w:rPr>
          <w:b/>
          <w:bCs/>
        </w:rPr>
      </w:pPr>
      <w:r>
        <w:rPr>
          <w:b/>
          <w:bCs/>
        </w:rPr>
        <w:t>Date:</w:t>
      </w:r>
      <w:r>
        <w:rPr>
          <w:b/>
          <w:bCs/>
        </w:rPr>
        <w:tab/>
        <w:t>16 December 2021</w:t>
      </w:r>
    </w:p>
    <w:p w:rsidR="00664F30" w:rsidRDefault="00664F30" w:rsidP="00094AF0">
      <w:pPr>
        <w:tabs>
          <w:tab w:val="left" w:pos="2410"/>
        </w:tabs>
        <w:spacing w:line="360" w:lineRule="auto"/>
        <w:rPr>
          <w:b/>
          <w:bCs/>
        </w:rPr>
      </w:pPr>
      <w:r>
        <w:rPr>
          <w:b/>
          <w:bCs/>
        </w:rPr>
        <w:t>Report of:</w:t>
      </w:r>
      <w:r>
        <w:rPr>
          <w:b/>
          <w:bCs/>
        </w:rPr>
        <w:tab/>
        <w:t>Head of Housing Services</w:t>
      </w:r>
    </w:p>
    <w:p w:rsidR="008A22C6" w:rsidRPr="006B0D33" w:rsidRDefault="00664F30" w:rsidP="00094AF0">
      <w:pPr>
        <w:tabs>
          <w:tab w:val="left" w:pos="2410"/>
        </w:tabs>
        <w:spacing w:line="360" w:lineRule="auto"/>
        <w:rPr>
          <w:b/>
          <w:bCs/>
        </w:rPr>
      </w:pPr>
      <w:r>
        <w:rPr>
          <w:b/>
          <w:bCs/>
        </w:rPr>
        <w:t>Title of Report:</w:t>
      </w:r>
      <w:r>
        <w:rPr>
          <w:b/>
          <w:bCs/>
        </w:rPr>
        <w:tab/>
      </w:r>
      <w:r w:rsidR="00B072B3" w:rsidRPr="006B0D33">
        <w:rPr>
          <w:b/>
          <w:bCs/>
        </w:rPr>
        <w:t xml:space="preserve">Tenant and </w:t>
      </w:r>
      <w:r w:rsidR="0053413E">
        <w:rPr>
          <w:b/>
          <w:bCs/>
        </w:rPr>
        <w:t>l</w:t>
      </w:r>
      <w:r w:rsidR="00B072B3" w:rsidRPr="006B0D33">
        <w:rPr>
          <w:b/>
          <w:bCs/>
        </w:rPr>
        <w:t xml:space="preserve">easeholder </w:t>
      </w:r>
      <w:r w:rsidR="0053413E">
        <w:rPr>
          <w:b/>
          <w:bCs/>
        </w:rPr>
        <w:t>s</w:t>
      </w:r>
      <w:r w:rsidR="00B072B3" w:rsidRPr="006B0D33">
        <w:rPr>
          <w:b/>
          <w:bCs/>
        </w:rPr>
        <w:t xml:space="preserve">atisfaction </w:t>
      </w:r>
      <w:r w:rsidR="0053413E">
        <w:rPr>
          <w:b/>
          <w:bCs/>
        </w:rPr>
        <w:t>s</w:t>
      </w:r>
      <w:r w:rsidR="00B072B3" w:rsidRPr="006B0D33">
        <w:rPr>
          <w:b/>
          <w:bCs/>
        </w:rPr>
        <w:t>urvey 2021</w:t>
      </w:r>
    </w:p>
    <w:p w:rsidR="00627530" w:rsidRDefault="00627530" w:rsidP="00B072B3">
      <w:pPr>
        <w:jc w:val="center"/>
        <w:rPr>
          <w:b/>
        </w:rPr>
      </w:pPr>
    </w:p>
    <w:p w:rsidR="006104F7" w:rsidRDefault="006104F7" w:rsidP="006104F7">
      <w:pPr>
        <w:rPr>
          <w:b/>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E372A0" w:rsidTr="000931A3">
        <w:tc>
          <w:tcPr>
            <w:tcW w:w="8845" w:type="dxa"/>
            <w:gridSpan w:val="2"/>
            <w:tcBorders>
              <w:bottom w:val="single" w:sz="8" w:space="0" w:color="000000"/>
            </w:tcBorders>
            <w:hideMark/>
          </w:tcPr>
          <w:p w:rsidR="00E372A0" w:rsidRDefault="00E372A0" w:rsidP="000931A3">
            <w:pPr>
              <w:jc w:val="center"/>
              <w:rPr>
                <w:rStyle w:val="Firstpagetablebold"/>
              </w:rPr>
            </w:pPr>
            <w:r>
              <w:rPr>
                <w:rStyle w:val="Firstpagetablebold"/>
              </w:rPr>
              <w:t>Summary and recommendations</w:t>
            </w:r>
          </w:p>
        </w:tc>
      </w:tr>
      <w:tr w:rsidR="00E372A0" w:rsidTr="00361AEE">
        <w:tc>
          <w:tcPr>
            <w:tcW w:w="2438" w:type="dxa"/>
            <w:tcBorders>
              <w:top w:val="single" w:sz="8" w:space="0" w:color="000000"/>
              <w:left w:val="single" w:sz="8" w:space="0" w:color="000000"/>
              <w:bottom w:val="nil"/>
              <w:right w:val="nil"/>
            </w:tcBorders>
            <w:hideMark/>
          </w:tcPr>
          <w:p w:rsidR="00E372A0" w:rsidRDefault="00E372A0" w:rsidP="00E372A0">
            <w:pPr>
              <w:rPr>
                <w:b/>
              </w:rPr>
            </w:pPr>
          </w:p>
          <w:p w:rsidR="00E372A0" w:rsidRDefault="00E372A0" w:rsidP="00E372A0">
            <w:pPr>
              <w:rPr>
                <w:rStyle w:val="Firstpagetablebold"/>
              </w:rPr>
            </w:pPr>
            <w:r w:rsidRPr="007E0916">
              <w:rPr>
                <w:b/>
              </w:rPr>
              <w:t>Purpose of Report:</w:t>
            </w:r>
          </w:p>
        </w:tc>
        <w:tc>
          <w:tcPr>
            <w:tcW w:w="6407" w:type="dxa"/>
            <w:tcBorders>
              <w:top w:val="single" w:sz="8" w:space="0" w:color="000000"/>
              <w:left w:val="nil"/>
              <w:bottom w:val="nil"/>
              <w:right w:val="single" w:sz="8" w:space="0" w:color="000000"/>
            </w:tcBorders>
            <w:hideMark/>
          </w:tcPr>
          <w:p w:rsidR="00E372A0" w:rsidRDefault="00E372A0" w:rsidP="00E372A0"/>
          <w:p w:rsidR="00E372A0" w:rsidRDefault="00E372A0" w:rsidP="00E372A0">
            <w:r w:rsidRPr="007E0916">
              <w:t>To update the Housing and Homelessness Panel on the results of the Tenant and Leaseholder Satisfaction Survey 2021 and to provide an overview of planned improvements</w:t>
            </w:r>
          </w:p>
          <w:p w:rsidR="00E372A0" w:rsidRPr="001356F1" w:rsidRDefault="00E372A0" w:rsidP="00E372A0"/>
        </w:tc>
      </w:tr>
      <w:tr w:rsidR="00E372A0" w:rsidTr="00361AEE">
        <w:trPr>
          <w:trHeight w:val="1157"/>
        </w:trPr>
        <w:tc>
          <w:tcPr>
            <w:tcW w:w="2438" w:type="dxa"/>
            <w:tcBorders>
              <w:top w:val="nil"/>
              <w:left w:val="single" w:sz="8" w:space="0" w:color="000000"/>
              <w:bottom w:val="nil"/>
              <w:right w:val="nil"/>
            </w:tcBorders>
            <w:hideMark/>
          </w:tcPr>
          <w:p w:rsidR="00E372A0" w:rsidRDefault="00E372A0" w:rsidP="00770F51">
            <w:pPr>
              <w:rPr>
                <w:b/>
              </w:rPr>
            </w:pPr>
            <w:r w:rsidRPr="007E0916">
              <w:rPr>
                <w:b/>
              </w:rPr>
              <w:t>Corporate Priority:</w:t>
            </w:r>
          </w:p>
          <w:p w:rsidR="00361AEE" w:rsidRDefault="00361AEE" w:rsidP="00770F51">
            <w:pPr>
              <w:rPr>
                <w:b/>
              </w:rPr>
            </w:pPr>
          </w:p>
          <w:p w:rsidR="00361AEE" w:rsidRDefault="00361AEE" w:rsidP="00770F51">
            <w:pPr>
              <w:rPr>
                <w:b/>
              </w:rPr>
            </w:pPr>
          </w:p>
          <w:p w:rsidR="00361AEE" w:rsidRPr="00361AEE" w:rsidRDefault="00361AEE" w:rsidP="00770F51">
            <w:pPr>
              <w:rPr>
                <w:rStyle w:val="Firstpagetablebold"/>
                <w:b w:val="0"/>
              </w:rPr>
            </w:pPr>
            <w:r w:rsidRPr="00361AEE">
              <w:rPr>
                <w:b/>
              </w:rPr>
              <w:t>Pol</w:t>
            </w:r>
            <w:r>
              <w:rPr>
                <w:b/>
              </w:rPr>
              <w:t>icy Framework:</w:t>
            </w:r>
          </w:p>
        </w:tc>
        <w:tc>
          <w:tcPr>
            <w:tcW w:w="6407" w:type="dxa"/>
            <w:tcBorders>
              <w:top w:val="nil"/>
              <w:left w:val="nil"/>
              <w:bottom w:val="nil"/>
              <w:right w:val="single" w:sz="8" w:space="0" w:color="000000"/>
            </w:tcBorders>
            <w:hideMark/>
          </w:tcPr>
          <w:p w:rsidR="00E372A0" w:rsidRDefault="00E372A0" w:rsidP="00E372A0">
            <w:r w:rsidRPr="007E0916">
              <w:t>Deliver more affordable housing, Support thriving communities</w:t>
            </w:r>
          </w:p>
          <w:p w:rsidR="00361AEE" w:rsidRDefault="00361AEE" w:rsidP="00E372A0"/>
          <w:p w:rsidR="00361AEE" w:rsidRPr="001356F1" w:rsidRDefault="00361AEE" w:rsidP="00E372A0">
            <w:r>
              <w:t>Corporate Plan</w:t>
            </w:r>
          </w:p>
        </w:tc>
      </w:tr>
      <w:tr w:rsidR="00E372A0" w:rsidRPr="00975B07" w:rsidTr="000931A3">
        <w:trPr>
          <w:trHeight w:val="413"/>
        </w:trPr>
        <w:tc>
          <w:tcPr>
            <w:tcW w:w="8845" w:type="dxa"/>
            <w:gridSpan w:val="2"/>
            <w:tcBorders>
              <w:bottom w:val="single" w:sz="8" w:space="0" w:color="000000"/>
            </w:tcBorders>
          </w:tcPr>
          <w:p w:rsidR="00E372A0" w:rsidRDefault="00E372A0" w:rsidP="00E372A0">
            <w:pPr>
              <w:rPr>
                <w:rStyle w:val="Firstpagetablebold"/>
              </w:rPr>
            </w:pPr>
            <w:r>
              <w:rPr>
                <w:rStyle w:val="Firstpagetablebold"/>
              </w:rPr>
              <w:t>Recommendation: That the Panel resolves to:</w:t>
            </w:r>
          </w:p>
          <w:p w:rsidR="00E372A0" w:rsidRPr="00E372A0" w:rsidRDefault="00E372A0" w:rsidP="00D21F63">
            <w:pPr>
              <w:pStyle w:val="ListParagraph"/>
              <w:numPr>
                <w:ilvl w:val="0"/>
                <w:numId w:val="12"/>
              </w:numPr>
            </w:pPr>
            <w:r>
              <w:t>Note the report having agreed any recommendations to Cabinet arising from it.</w:t>
            </w:r>
          </w:p>
        </w:tc>
      </w:tr>
    </w:tbl>
    <w:p w:rsidR="00E372A0" w:rsidRPr="009E51FC" w:rsidRDefault="00E372A0" w:rsidP="00E372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372A0" w:rsidRPr="00975B07" w:rsidTr="000931A3">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E372A0" w:rsidRPr="002C7241" w:rsidRDefault="00E372A0" w:rsidP="000931A3">
            <w:pPr>
              <w:jc w:val="center"/>
            </w:pPr>
            <w:r w:rsidRPr="002C7241">
              <w:rPr>
                <w:rStyle w:val="Firstpagetablebold"/>
              </w:rPr>
              <w:t>Appendices</w:t>
            </w:r>
          </w:p>
        </w:tc>
      </w:tr>
      <w:tr w:rsidR="00E372A0" w:rsidRPr="00975B07" w:rsidTr="00E372A0">
        <w:tc>
          <w:tcPr>
            <w:tcW w:w="8844" w:type="dxa"/>
            <w:tcBorders>
              <w:top w:val="nil"/>
              <w:left w:val="single" w:sz="8" w:space="0" w:color="000000"/>
              <w:bottom w:val="nil"/>
              <w:right w:val="single" w:sz="8" w:space="0" w:color="000000"/>
            </w:tcBorders>
            <w:shd w:val="clear" w:color="auto" w:fill="auto"/>
          </w:tcPr>
          <w:p w:rsidR="00E372A0" w:rsidRDefault="00E372A0" w:rsidP="00E372A0">
            <w:pPr>
              <w:tabs>
                <w:tab w:val="left" w:pos="2326"/>
              </w:tabs>
              <w:ind w:right="-6317"/>
            </w:pPr>
            <w:r>
              <w:t>Appendix A:                 About STAR</w:t>
            </w:r>
          </w:p>
          <w:p w:rsidR="00E372A0" w:rsidRDefault="00E372A0" w:rsidP="00E372A0">
            <w:pPr>
              <w:tabs>
                <w:tab w:val="left" w:pos="2326"/>
              </w:tabs>
              <w:ind w:right="-6317"/>
            </w:pPr>
            <w:r>
              <w:t>Appendix B:                 Full Survey Reports</w:t>
            </w:r>
          </w:p>
          <w:p w:rsidR="00E372A0" w:rsidRPr="002C7241" w:rsidRDefault="00E372A0" w:rsidP="00E372A0">
            <w:pPr>
              <w:tabs>
                <w:tab w:val="left" w:pos="2326"/>
              </w:tabs>
              <w:ind w:right="-6317"/>
            </w:pPr>
            <w:r>
              <w:t>Appendix C:                 Resident Suggestions for Improvement</w:t>
            </w:r>
          </w:p>
        </w:tc>
      </w:tr>
      <w:tr w:rsidR="00E372A0" w:rsidRPr="00975B07" w:rsidTr="000931A3">
        <w:tc>
          <w:tcPr>
            <w:tcW w:w="8844" w:type="dxa"/>
            <w:tcBorders>
              <w:top w:val="nil"/>
              <w:left w:val="single" w:sz="8" w:space="0" w:color="000000"/>
              <w:bottom w:val="single" w:sz="8" w:space="0" w:color="000000"/>
              <w:right w:val="single" w:sz="8" w:space="0" w:color="000000"/>
            </w:tcBorders>
            <w:shd w:val="clear" w:color="auto" w:fill="auto"/>
          </w:tcPr>
          <w:p w:rsidR="00E372A0" w:rsidRDefault="00E372A0" w:rsidP="00E372A0">
            <w:pPr>
              <w:ind w:right="-6317"/>
            </w:pPr>
          </w:p>
        </w:tc>
      </w:tr>
    </w:tbl>
    <w:p w:rsidR="00E372A0" w:rsidRDefault="00E372A0" w:rsidP="00B072B3">
      <w:pPr>
        <w:jc w:val="center"/>
        <w:rPr>
          <w:b/>
        </w:rPr>
      </w:pPr>
    </w:p>
    <w:p w:rsidR="00627530" w:rsidRDefault="00627530" w:rsidP="00627530">
      <w:pPr>
        <w:rPr>
          <w:b/>
        </w:rPr>
      </w:pPr>
      <w:r w:rsidRPr="006B0D33">
        <w:rPr>
          <w:b/>
        </w:rPr>
        <w:t>Background</w:t>
      </w:r>
    </w:p>
    <w:p w:rsidR="00E372A0" w:rsidRPr="00D21F63" w:rsidRDefault="00E372A0" w:rsidP="00D21F63"/>
    <w:p w:rsidR="00627530" w:rsidRPr="00D21F63" w:rsidRDefault="00627530" w:rsidP="00D21F63">
      <w:pPr>
        <w:pStyle w:val="ListParagraph"/>
        <w:numPr>
          <w:ilvl w:val="0"/>
          <w:numId w:val="13"/>
        </w:numPr>
      </w:pPr>
      <w:r w:rsidRPr="00D21F63">
        <w:t xml:space="preserve">The </w:t>
      </w:r>
      <w:r w:rsidR="003E0623" w:rsidRPr="00D21F63">
        <w:t>C</w:t>
      </w:r>
      <w:r w:rsidR="00FE15DA" w:rsidRPr="00D21F63">
        <w:t>ouncil</w:t>
      </w:r>
      <w:r w:rsidRPr="00D21F63">
        <w:t>, in common with other social housing landlords, carry out periodic surveys of tenants and leaseholders on how satisfied they are with the services provided</w:t>
      </w:r>
      <w:r w:rsidR="00771B4A" w:rsidRPr="00D21F63">
        <w:t xml:space="preserve"> </w:t>
      </w:r>
      <w:r w:rsidR="006D64D0" w:rsidRPr="00D21F63">
        <w:t>which is then used to inform</w:t>
      </w:r>
      <w:r w:rsidR="00771B4A" w:rsidRPr="00D21F63">
        <w:t xml:space="preserve"> service improvement plans</w:t>
      </w:r>
      <w:r w:rsidRPr="00D21F63">
        <w:t>. The survey is commonly known as a STAR survey.</w:t>
      </w:r>
    </w:p>
    <w:p w:rsidR="0053413E" w:rsidRPr="00D21F63" w:rsidRDefault="0053413E" w:rsidP="00D21F63"/>
    <w:p w:rsidR="00282AE2" w:rsidRPr="00D21F63" w:rsidRDefault="0053413E" w:rsidP="00D21F63">
      <w:pPr>
        <w:pStyle w:val="ListParagraph"/>
        <w:numPr>
          <w:ilvl w:val="0"/>
          <w:numId w:val="13"/>
        </w:numPr>
      </w:pPr>
      <w:r w:rsidRPr="00D21F63">
        <w:t>Following a procurement process that involved resident ambassadors evaluating tender submissions, Acuity Research and Practice were appointed to carry out the 2021 STAR survey with an option to extend the contract for up to a further three years.</w:t>
      </w:r>
      <w:r w:rsidR="00282AE2" w:rsidRPr="00D21F63">
        <w:t xml:space="preserve"> </w:t>
      </w:r>
      <w:r w:rsidR="00282AE2" w:rsidRPr="00D21F63">
        <w:rPr>
          <w:i/>
        </w:rPr>
        <w:t>See Appendix A for more information about previous surveys and STAR methodology.</w:t>
      </w:r>
    </w:p>
    <w:p w:rsidR="0053413E" w:rsidRPr="00D21F63" w:rsidRDefault="0053413E" w:rsidP="00D21F63"/>
    <w:p w:rsidR="0053413E" w:rsidRPr="00D21F63" w:rsidRDefault="0053413E" w:rsidP="00D21F63">
      <w:pPr>
        <w:pStyle w:val="ListParagraph"/>
        <w:numPr>
          <w:ilvl w:val="0"/>
          <w:numId w:val="13"/>
        </w:numPr>
      </w:pPr>
      <w:r w:rsidRPr="00D21F63">
        <w:t>Given the length of time since the previous survey in 2015, it was agreed that a census of all tenants and leaseholders would take place, rather than a sample as before</w:t>
      </w:r>
      <w:r w:rsidR="00282AE2" w:rsidRPr="00D21F63">
        <w:t>, such that a new baseline can be established</w:t>
      </w:r>
      <w:r w:rsidRPr="00D21F63">
        <w:t>. All tenants and leaseholders were invited to take part in the survey by post or online, in addition 925 tenants were telephoned. The survey ran from mid-May and closed on 5 July 2021. A total of 1,579 tenants (23</w:t>
      </w:r>
      <w:r w:rsidR="00282AE2" w:rsidRPr="00D21F63">
        <w:t>%) and 84 leaseholders (12%) responded</w:t>
      </w:r>
      <w:r w:rsidRPr="00D21F63">
        <w:t>.</w:t>
      </w:r>
      <w:r w:rsidR="00282AE2" w:rsidRPr="00D21F63">
        <w:t xml:space="preserve"> A number of the questions from 2015 were included, together with new questions.</w:t>
      </w:r>
    </w:p>
    <w:p w:rsidR="00AB58A1" w:rsidRPr="00D21F63" w:rsidRDefault="00FD6E51" w:rsidP="00D21F63">
      <w:pPr>
        <w:rPr>
          <w:b/>
        </w:rPr>
      </w:pPr>
      <w:r w:rsidRPr="00D21F63">
        <w:rPr>
          <w:b/>
        </w:rPr>
        <w:t>Key results</w:t>
      </w:r>
    </w:p>
    <w:p w:rsidR="00D21F63" w:rsidRPr="00FD6E51" w:rsidRDefault="00D21F63" w:rsidP="00627530">
      <w:pPr>
        <w:rPr>
          <w:b/>
        </w:rPr>
      </w:pPr>
    </w:p>
    <w:p w:rsidR="008D6B95" w:rsidRDefault="00AB58A1" w:rsidP="00D21F63">
      <w:pPr>
        <w:pStyle w:val="ListParagraph"/>
        <w:numPr>
          <w:ilvl w:val="0"/>
          <w:numId w:val="13"/>
        </w:numPr>
      </w:pPr>
      <w:r w:rsidRPr="006B0D33">
        <w:t xml:space="preserve">The survey provides the </w:t>
      </w:r>
      <w:r w:rsidR="003E0623">
        <w:t>C</w:t>
      </w:r>
      <w:r w:rsidR="00FE15DA" w:rsidRPr="006B0D33">
        <w:t>ouncil</w:t>
      </w:r>
      <w:r w:rsidRPr="006B0D33">
        <w:t xml:space="preserve"> with important baseline data</w:t>
      </w:r>
      <w:r w:rsidR="008D6B95">
        <w:t>, with the most positive feedback from tenants as follows:</w:t>
      </w:r>
    </w:p>
    <w:p w:rsidR="008D6B95" w:rsidRPr="006B0D33" w:rsidRDefault="008D6B95" w:rsidP="008D6B95"/>
    <w:p w:rsidR="008D6B95" w:rsidRPr="006B0D33" w:rsidRDefault="008D6B95" w:rsidP="008D6B95">
      <w:pPr>
        <w:pStyle w:val="ListParagraph"/>
        <w:numPr>
          <w:ilvl w:val="0"/>
          <w:numId w:val="6"/>
        </w:numPr>
      </w:pPr>
      <w:r w:rsidRPr="006B0D33">
        <w:t>85% are satisfied with our customer service</w:t>
      </w:r>
      <w:r w:rsidR="004B1CFA">
        <w:t xml:space="preserve"> (new question)</w:t>
      </w:r>
    </w:p>
    <w:p w:rsidR="008D6B95" w:rsidRPr="006B0D33" w:rsidRDefault="008D6B95" w:rsidP="008D6B95">
      <w:pPr>
        <w:pStyle w:val="ListParagraph"/>
        <w:numPr>
          <w:ilvl w:val="0"/>
          <w:numId w:val="6"/>
        </w:numPr>
      </w:pPr>
      <w:r w:rsidRPr="006B0D33">
        <w:t>81% believe their rent is value for money</w:t>
      </w:r>
      <w:r w:rsidR="00282AE2">
        <w:t xml:space="preserve"> (75% in 2015)</w:t>
      </w:r>
    </w:p>
    <w:p w:rsidR="008D6B95" w:rsidRPr="006B0D33" w:rsidRDefault="008D6B95" w:rsidP="008D6B95">
      <w:pPr>
        <w:pStyle w:val="ListParagraph"/>
        <w:numPr>
          <w:ilvl w:val="0"/>
          <w:numId w:val="6"/>
        </w:numPr>
      </w:pPr>
      <w:r w:rsidRPr="006B0D33">
        <w:t>80% feel safe and secure in their home</w:t>
      </w:r>
      <w:r w:rsidR="004B1CFA">
        <w:t xml:space="preserve"> (new question)</w:t>
      </w:r>
    </w:p>
    <w:p w:rsidR="008D6B95" w:rsidRPr="006B0D33" w:rsidRDefault="008D6B95" w:rsidP="008D6B95">
      <w:pPr>
        <w:pStyle w:val="ListParagraph"/>
        <w:numPr>
          <w:ilvl w:val="0"/>
          <w:numId w:val="6"/>
        </w:numPr>
      </w:pPr>
      <w:r w:rsidRPr="006B0D33">
        <w:t xml:space="preserve">76% are satisfied with the </w:t>
      </w:r>
      <w:r w:rsidR="003E0623">
        <w:t>C</w:t>
      </w:r>
      <w:r w:rsidRPr="006B0D33">
        <w:t>ouncil as a landlord</w:t>
      </w:r>
      <w:r w:rsidR="00282AE2">
        <w:t xml:space="preserve"> (83% in 2015)</w:t>
      </w:r>
    </w:p>
    <w:p w:rsidR="008D6B95" w:rsidRPr="006B0D33" w:rsidRDefault="008D6B95" w:rsidP="008D6B95">
      <w:pPr>
        <w:pStyle w:val="ListParagraph"/>
        <w:numPr>
          <w:ilvl w:val="0"/>
          <w:numId w:val="6"/>
        </w:numPr>
      </w:pPr>
      <w:r w:rsidRPr="006B0D33">
        <w:t>76% are satisfied with the repairs service</w:t>
      </w:r>
      <w:r w:rsidR="00282AE2">
        <w:t xml:space="preserve"> (77% in 2015)</w:t>
      </w:r>
    </w:p>
    <w:p w:rsidR="008D6B95" w:rsidRDefault="008D6B95" w:rsidP="008D6B95">
      <w:pPr>
        <w:pStyle w:val="ListParagraph"/>
        <w:numPr>
          <w:ilvl w:val="0"/>
          <w:numId w:val="6"/>
        </w:numPr>
      </w:pPr>
      <w:r w:rsidRPr="006B0D33">
        <w:t>76% are satisfied with being kept informed about things that may affect them</w:t>
      </w:r>
      <w:r w:rsidR="00282AE2">
        <w:t xml:space="preserve"> (74% in 2015)</w:t>
      </w:r>
    </w:p>
    <w:p w:rsidR="008D6B95" w:rsidRDefault="008D6B95" w:rsidP="00627530"/>
    <w:p w:rsidR="00AB58A1" w:rsidRPr="006B0D33" w:rsidRDefault="00282AE2" w:rsidP="00D21F63">
      <w:pPr>
        <w:pStyle w:val="ListParagraph"/>
        <w:numPr>
          <w:ilvl w:val="0"/>
          <w:numId w:val="13"/>
        </w:numPr>
      </w:pPr>
      <w:r>
        <w:t>While solid, t</w:t>
      </w:r>
      <w:r w:rsidR="00C6079B">
        <w:t xml:space="preserve">he results </w:t>
      </w:r>
      <w:r>
        <w:t>are</w:t>
      </w:r>
      <w:r w:rsidR="00320D6E">
        <w:t xml:space="preserve"> in the main</w:t>
      </w:r>
      <w:r>
        <w:t xml:space="preserve"> not as strong as </w:t>
      </w:r>
      <w:r w:rsidR="004B1CFA">
        <w:t>those in</w:t>
      </w:r>
      <w:r>
        <w:t xml:space="preserve"> 2015, however they </w:t>
      </w:r>
      <w:r w:rsidR="00C6079B">
        <w:t>should be viewed</w:t>
      </w:r>
      <w:r w:rsidR="00AB58A1" w:rsidRPr="006B0D33">
        <w:t xml:space="preserve"> against a backdrop of </w:t>
      </w:r>
      <w:r w:rsidR="00C624A7" w:rsidRPr="006B0D33">
        <w:t xml:space="preserve">more than </w:t>
      </w:r>
      <w:r w:rsidR="00AB58A1" w:rsidRPr="006B0D33">
        <w:t xml:space="preserve">a year of </w:t>
      </w:r>
      <w:r w:rsidR="00E407C3" w:rsidRPr="006B0D33">
        <w:t>COVID</w:t>
      </w:r>
      <w:r w:rsidR="00FE15DA" w:rsidRPr="006B0D33">
        <w:t>-19</w:t>
      </w:r>
      <w:r w:rsidR="00E407C3" w:rsidRPr="006B0D33">
        <w:t xml:space="preserve"> related </w:t>
      </w:r>
      <w:r w:rsidR="00AB58A1" w:rsidRPr="006B0D33">
        <w:t>service restrict</w:t>
      </w:r>
      <w:r w:rsidR="00E407C3" w:rsidRPr="006B0D33">
        <w:t>ions</w:t>
      </w:r>
      <w:r w:rsidR="00C6079B">
        <w:t>,</w:t>
      </w:r>
      <w:r w:rsidR="00E407C3" w:rsidRPr="006B0D33">
        <w:t xml:space="preserve"> where for many months all non-emergency</w:t>
      </w:r>
      <w:r w:rsidR="00AB58A1" w:rsidRPr="006B0D33">
        <w:t xml:space="preserve"> repairs and planned improvements were paused</w:t>
      </w:r>
      <w:r w:rsidR="00E407C3" w:rsidRPr="006B0D33">
        <w:t xml:space="preserve"> and significant backlogs occurred. Other visible services such as caretaking and cleaning were also impacted</w:t>
      </w:r>
      <w:r w:rsidR="00C6079B">
        <w:t>,</w:t>
      </w:r>
      <w:r w:rsidR="00E407C3" w:rsidRPr="006B0D33">
        <w:t xml:space="preserve"> as were face to face services </w:t>
      </w:r>
      <w:r w:rsidR="003E0623">
        <w:t>previously provided by the C</w:t>
      </w:r>
      <w:r w:rsidR="00FE15DA" w:rsidRPr="006B0D33">
        <w:t>ouncil</w:t>
      </w:r>
      <w:r w:rsidR="00E407C3" w:rsidRPr="006B0D33">
        <w:t>.</w:t>
      </w:r>
      <w:r w:rsidR="00841EE8" w:rsidRPr="006B0D33">
        <w:t xml:space="preserve"> </w:t>
      </w:r>
    </w:p>
    <w:p w:rsidR="003039AE" w:rsidRDefault="003039AE" w:rsidP="00D21F63"/>
    <w:p w:rsidR="004B1CFA" w:rsidRDefault="004B1CFA" w:rsidP="00D21F63">
      <w:pPr>
        <w:pStyle w:val="ListParagraph"/>
        <w:numPr>
          <w:ilvl w:val="0"/>
          <w:numId w:val="13"/>
        </w:numPr>
      </w:pPr>
      <w:r>
        <w:t xml:space="preserve">The STAR survey compares favourably with LGA polling on nearly all metrics, most notably value </w:t>
      </w:r>
      <w:r w:rsidR="003E0623">
        <w:t>for money – with 81% of Oxford c</w:t>
      </w:r>
      <w:r>
        <w:t xml:space="preserve">ouncil tenants agreeing that they get value for money, against 43% nationally. Oxford also scores higher than the national average on </w:t>
      </w:r>
      <w:r w:rsidR="003E0623">
        <w:t>how the C</w:t>
      </w:r>
      <w:r>
        <w:t>ouncil runs things, being kept well informed, trust and acting on concerns.</w:t>
      </w:r>
    </w:p>
    <w:p w:rsidR="004B1CFA" w:rsidRDefault="004B1CFA" w:rsidP="00D21F63"/>
    <w:p w:rsidR="00F67459" w:rsidRDefault="003039AE" w:rsidP="00D21F63">
      <w:pPr>
        <w:pStyle w:val="ListParagraph"/>
        <w:numPr>
          <w:ilvl w:val="0"/>
          <w:numId w:val="13"/>
        </w:numPr>
      </w:pPr>
      <w:r>
        <w:t xml:space="preserve">Societally, the six years since the last STAR survey have been disruptive and polarising, and the impact of this on people’s satisfaction with their lives cannot be discounted, even if it cannot be disentangled. The Local Government Association (LGA) measures resident satisfaction with their councils every four months, and the October 2021 </w:t>
      </w:r>
      <w:r w:rsidR="008D6B95">
        <w:t>survey reports that only 56% of people are satisfied or very satisfied with how their local council runs things – the lowest level since polling began in 2012.</w:t>
      </w:r>
      <w:r>
        <w:t xml:space="preserve"> </w:t>
      </w:r>
    </w:p>
    <w:p w:rsidR="00F67459" w:rsidRDefault="00F67459" w:rsidP="00D21F63"/>
    <w:p w:rsidR="00EF4AF1" w:rsidRDefault="00F67459" w:rsidP="00D21F63">
      <w:pPr>
        <w:pStyle w:val="ListParagraph"/>
        <w:numPr>
          <w:ilvl w:val="0"/>
          <w:numId w:val="13"/>
        </w:numPr>
      </w:pPr>
      <w:r>
        <w:t xml:space="preserve">This is context, not excuses. Whatever the reasons, the overall trend since 2015 is </w:t>
      </w:r>
      <w:r w:rsidR="00320D6E">
        <w:t xml:space="preserve">in the main </w:t>
      </w:r>
      <w:r>
        <w:t xml:space="preserve">downwards. </w:t>
      </w:r>
      <w:r w:rsidR="00EF4AF1">
        <w:t>Oxford is not alone in this.</w:t>
      </w:r>
    </w:p>
    <w:p w:rsidR="00EF4AF1" w:rsidRDefault="00EF4AF1" w:rsidP="00D21F63"/>
    <w:p w:rsidR="00675021" w:rsidRPr="006B0D33" w:rsidRDefault="00F67459" w:rsidP="00D21F63">
      <w:pPr>
        <w:pStyle w:val="ListParagraph"/>
        <w:numPr>
          <w:ilvl w:val="0"/>
          <w:numId w:val="13"/>
        </w:numPr>
      </w:pPr>
      <w:r>
        <w:t>What is important is that the STAR survey pr</w:t>
      </w:r>
      <w:r w:rsidR="003E0623">
        <w:t>ovides the C</w:t>
      </w:r>
      <w:r>
        <w:t xml:space="preserve">ouncil with a baseline for improvement and that work is already underway to address this. </w:t>
      </w:r>
      <w:r w:rsidR="006F0929" w:rsidRPr="006B0D33">
        <w:t xml:space="preserve">The most significant </w:t>
      </w:r>
      <w:r>
        <w:t xml:space="preserve">areas </w:t>
      </w:r>
      <w:r w:rsidR="004B1CFA">
        <w:t>we need to address</w:t>
      </w:r>
      <w:r w:rsidR="006F0929" w:rsidRPr="006B0D33">
        <w:t xml:space="preserve"> are</w:t>
      </w:r>
      <w:r w:rsidR="005F5483">
        <w:t>:</w:t>
      </w:r>
    </w:p>
    <w:p w:rsidR="00655CA6" w:rsidRPr="006B0D33" w:rsidRDefault="00655CA6" w:rsidP="00C92FF7">
      <w:pPr>
        <w:ind w:left="50"/>
      </w:pPr>
    </w:p>
    <w:p w:rsidR="00E81417" w:rsidRPr="006B0D33" w:rsidRDefault="00FD6E51" w:rsidP="00E81417">
      <w:pPr>
        <w:pStyle w:val="ListParagraph"/>
        <w:numPr>
          <w:ilvl w:val="0"/>
          <w:numId w:val="7"/>
        </w:numPr>
      </w:pPr>
      <w:r>
        <w:t>o</w:t>
      </w:r>
      <w:r w:rsidR="006F0929" w:rsidRPr="006B0D33">
        <w:t xml:space="preserve">verall satisfaction with the </w:t>
      </w:r>
      <w:r w:rsidR="003E0623">
        <w:t>C</w:t>
      </w:r>
      <w:r w:rsidR="00FE15DA" w:rsidRPr="006B0D33">
        <w:t>ouncil</w:t>
      </w:r>
      <w:r w:rsidR="006F0929" w:rsidRPr="006B0D33">
        <w:t xml:space="preserve"> as a landlord</w:t>
      </w:r>
      <w:r w:rsidR="004B1CFA">
        <w:t xml:space="preserve"> (down 7%)</w:t>
      </w:r>
    </w:p>
    <w:p w:rsidR="006F0929" w:rsidRPr="006B0D33" w:rsidRDefault="00FD6E51" w:rsidP="00E81417">
      <w:pPr>
        <w:pStyle w:val="ListParagraph"/>
        <w:numPr>
          <w:ilvl w:val="0"/>
          <w:numId w:val="7"/>
        </w:numPr>
      </w:pPr>
      <w:r>
        <w:t>o</w:t>
      </w:r>
      <w:r w:rsidR="006F0929" w:rsidRPr="006B0D33">
        <w:t>verall satisfaction with the quality of the home</w:t>
      </w:r>
      <w:r w:rsidR="004B1CFA">
        <w:t xml:space="preserve"> (down 12% to 67%)</w:t>
      </w:r>
    </w:p>
    <w:p w:rsidR="006F0929" w:rsidRPr="006B0D33" w:rsidRDefault="005F5483" w:rsidP="00E81417">
      <w:pPr>
        <w:pStyle w:val="ListParagraph"/>
        <w:numPr>
          <w:ilvl w:val="0"/>
          <w:numId w:val="7"/>
        </w:numPr>
      </w:pPr>
      <w:r>
        <w:t>t</w:t>
      </w:r>
      <w:r w:rsidR="006F0929" w:rsidRPr="006B0D33">
        <w:t>enants</w:t>
      </w:r>
      <w:r>
        <w:t>’</w:t>
      </w:r>
      <w:r w:rsidR="006F0929" w:rsidRPr="006B0D33">
        <w:t xml:space="preserve"> views are listened to and acted upon</w:t>
      </w:r>
      <w:r w:rsidR="004B1CFA">
        <w:t xml:space="preserve"> (down 5% to 55%)</w:t>
      </w:r>
    </w:p>
    <w:p w:rsidR="006F0929" w:rsidRPr="006B0D33" w:rsidRDefault="005F5483" w:rsidP="00E81417">
      <w:pPr>
        <w:pStyle w:val="ListParagraph"/>
        <w:numPr>
          <w:ilvl w:val="0"/>
          <w:numId w:val="7"/>
        </w:numPr>
      </w:pPr>
      <w:r>
        <w:t>s</w:t>
      </w:r>
      <w:r w:rsidR="006F0929" w:rsidRPr="006B0D33">
        <w:t xml:space="preserve">atisfaction with the outcome of an </w:t>
      </w:r>
      <w:r w:rsidR="00FD6E51">
        <w:t>antisocial behaviour (</w:t>
      </w:r>
      <w:r w:rsidR="006F0929" w:rsidRPr="006B0D33">
        <w:t>ASB</w:t>
      </w:r>
      <w:r w:rsidR="00FD6E51">
        <w:t>)</w:t>
      </w:r>
      <w:r w:rsidR="006F0929" w:rsidRPr="006B0D33">
        <w:t xml:space="preserve"> complaint</w:t>
      </w:r>
      <w:r w:rsidR="004B1CFA">
        <w:t xml:space="preserve"> (down 11% to 49%)</w:t>
      </w:r>
    </w:p>
    <w:p w:rsidR="00655CA6" w:rsidRPr="006B0D33" w:rsidRDefault="00655CA6" w:rsidP="006F0929">
      <w:pPr>
        <w:ind w:left="50"/>
      </w:pPr>
    </w:p>
    <w:p w:rsidR="004B1CFA" w:rsidRDefault="004B1CFA" w:rsidP="004B1CFA">
      <w:pPr>
        <w:rPr>
          <w:i/>
        </w:rPr>
      </w:pPr>
      <w:r>
        <w:rPr>
          <w:i/>
        </w:rPr>
        <w:t xml:space="preserve">The full breakdown of </w:t>
      </w:r>
      <w:r w:rsidR="003E0623">
        <w:rPr>
          <w:i/>
        </w:rPr>
        <w:t xml:space="preserve">STAR survey </w:t>
      </w:r>
      <w:r>
        <w:rPr>
          <w:i/>
        </w:rPr>
        <w:t>results is provided in Appendix B.</w:t>
      </w:r>
    </w:p>
    <w:p w:rsidR="004B1CFA" w:rsidRPr="004B1CFA" w:rsidRDefault="004B1CFA" w:rsidP="004B1CFA">
      <w:pPr>
        <w:rPr>
          <w:i/>
        </w:rPr>
      </w:pPr>
    </w:p>
    <w:p w:rsidR="00F740DC" w:rsidRDefault="003E0623" w:rsidP="00D21F63">
      <w:pPr>
        <w:pStyle w:val="ListParagraph"/>
        <w:numPr>
          <w:ilvl w:val="0"/>
          <w:numId w:val="13"/>
        </w:numPr>
      </w:pPr>
      <w:r>
        <w:t>In the next four years the C</w:t>
      </w:r>
      <w:r w:rsidR="00C6079B">
        <w:t xml:space="preserve">ouncil plans to invest £51m in </w:t>
      </w:r>
      <w:r w:rsidR="00C6079B" w:rsidRPr="00973143">
        <w:t xml:space="preserve">planned maintenance, refurbishments and estate improvements </w:t>
      </w:r>
      <w:r w:rsidR="00C6079B">
        <w:t xml:space="preserve">and a further £8.7m in improving energy efficiency in </w:t>
      </w:r>
      <w:r w:rsidR="00C6079B" w:rsidRPr="00973143">
        <w:t xml:space="preserve">existing </w:t>
      </w:r>
      <w:r w:rsidR="00C6079B">
        <w:t xml:space="preserve">council homes. </w:t>
      </w:r>
    </w:p>
    <w:p w:rsidR="00F740DC" w:rsidRDefault="00F740DC" w:rsidP="00D21F63"/>
    <w:p w:rsidR="00C6079B" w:rsidRDefault="00C6079B" w:rsidP="00D21F63">
      <w:pPr>
        <w:pStyle w:val="ListParagraph"/>
        <w:numPr>
          <w:ilvl w:val="0"/>
          <w:numId w:val="13"/>
        </w:numPr>
      </w:pPr>
      <w:r>
        <w:t>Together with the ongoing delivery</w:t>
      </w:r>
      <w:r w:rsidRPr="006B0D33">
        <w:t xml:space="preserve"> </w:t>
      </w:r>
      <w:r>
        <w:t xml:space="preserve">of a new generation of high quality, design-led and low carbon council homes by Oxford City Housing Ltd (OCHL), this should help to improve tenant satisfaction in the coming years. </w:t>
      </w:r>
    </w:p>
    <w:p w:rsidR="00C6079B" w:rsidRDefault="00C6079B" w:rsidP="00D21F63"/>
    <w:p w:rsidR="006F0929" w:rsidRDefault="006F0929" w:rsidP="00D21F63">
      <w:pPr>
        <w:pStyle w:val="ListParagraph"/>
        <w:numPr>
          <w:ilvl w:val="0"/>
          <w:numId w:val="13"/>
        </w:numPr>
      </w:pPr>
      <w:r w:rsidRPr="006B0D33">
        <w:t xml:space="preserve">The improvement plan </w:t>
      </w:r>
      <w:r w:rsidR="005F5483">
        <w:t>and work identified and underway are considered in more detail below</w:t>
      </w:r>
      <w:r w:rsidR="00FD6E51">
        <w:t>.</w:t>
      </w:r>
    </w:p>
    <w:p w:rsidR="00C6079B" w:rsidRDefault="00C6079B" w:rsidP="006F0929">
      <w:pPr>
        <w:ind w:left="50"/>
      </w:pPr>
    </w:p>
    <w:p w:rsidR="00627530" w:rsidRDefault="00C37E42" w:rsidP="00627530">
      <w:pPr>
        <w:rPr>
          <w:b/>
        </w:rPr>
      </w:pPr>
      <w:r w:rsidRPr="006B0D33">
        <w:rPr>
          <w:b/>
        </w:rPr>
        <w:t xml:space="preserve">Resident </w:t>
      </w:r>
      <w:r w:rsidR="00655CA6" w:rsidRPr="006B0D33">
        <w:rPr>
          <w:b/>
        </w:rPr>
        <w:t>c</w:t>
      </w:r>
      <w:r w:rsidRPr="006B0D33">
        <w:rPr>
          <w:b/>
        </w:rPr>
        <w:t xml:space="preserve">omments and </w:t>
      </w:r>
      <w:r w:rsidR="00655CA6" w:rsidRPr="006B0D33">
        <w:rPr>
          <w:b/>
        </w:rPr>
        <w:t>s</w:t>
      </w:r>
      <w:r w:rsidRPr="006B0D33">
        <w:rPr>
          <w:b/>
        </w:rPr>
        <w:t xml:space="preserve">uggestions for </w:t>
      </w:r>
      <w:r w:rsidR="00655CA6" w:rsidRPr="006B0D33">
        <w:rPr>
          <w:b/>
        </w:rPr>
        <w:t>i</w:t>
      </w:r>
      <w:r w:rsidRPr="006B0D33">
        <w:rPr>
          <w:b/>
        </w:rPr>
        <w:t>mprovement</w:t>
      </w:r>
    </w:p>
    <w:p w:rsidR="00D21F63" w:rsidRPr="006B0D33" w:rsidRDefault="00D21F63" w:rsidP="00627530">
      <w:pPr>
        <w:rPr>
          <w:b/>
        </w:rPr>
      </w:pPr>
    </w:p>
    <w:p w:rsidR="00FD6E51" w:rsidRDefault="00A25566" w:rsidP="00D21F63">
      <w:pPr>
        <w:pStyle w:val="ListParagraph"/>
        <w:numPr>
          <w:ilvl w:val="0"/>
          <w:numId w:val="13"/>
        </w:numPr>
      </w:pPr>
      <w:r w:rsidRPr="006B0D33">
        <w:t>The survey</w:t>
      </w:r>
      <w:r w:rsidR="004160E5" w:rsidRPr="006B0D33">
        <w:t xml:space="preserve"> </w:t>
      </w:r>
      <w:r w:rsidRPr="006B0D33">
        <w:t>provided an option for tenants and leaseholders to comment on service areas and areas for improvement</w:t>
      </w:r>
      <w:r w:rsidR="00FD6E51">
        <w:t>. O</w:t>
      </w:r>
      <w:r w:rsidRPr="006B0D33">
        <w:t xml:space="preserve">verall, </w:t>
      </w:r>
      <w:r w:rsidR="00C05C8A" w:rsidRPr="006B0D33">
        <w:t>1,683 comments were provided by tenants and 98 comments were provided by leaseholders. The survey also asked respondents who were dissatisfied to indicate the reason for the</w:t>
      </w:r>
      <w:r w:rsidR="00FD6E51">
        <w:t>ir</w:t>
      </w:r>
      <w:r w:rsidR="00C05C8A" w:rsidRPr="006B0D33">
        <w:t xml:space="preserve"> dissatisfaction across </w:t>
      </w:r>
      <w:r w:rsidR="00FD6E51">
        <w:t>a</w:t>
      </w:r>
      <w:r w:rsidR="00C05C8A" w:rsidRPr="006B0D33">
        <w:t xml:space="preserve"> range of issues</w:t>
      </w:r>
      <w:r w:rsidR="00FD6E51">
        <w:t>. Co</w:t>
      </w:r>
      <w:r w:rsidR="00C05C8A" w:rsidRPr="006B0D33">
        <w:t>mbined with the comments</w:t>
      </w:r>
      <w:r w:rsidR="00FD6E51">
        <w:t>, this</w:t>
      </w:r>
      <w:r w:rsidR="00C05C8A" w:rsidRPr="006B0D33">
        <w:t xml:space="preserve"> has provided an invaluable insight into how services can be improved</w:t>
      </w:r>
      <w:r w:rsidR="004160E5" w:rsidRPr="006B0D33">
        <w:t xml:space="preserve"> and importantly where we need to concentrate our efforts</w:t>
      </w:r>
      <w:r w:rsidR="00C05C8A" w:rsidRPr="006B0D33">
        <w:t xml:space="preserve">. </w:t>
      </w:r>
    </w:p>
    <w:p w:rsidR="00FD6E51" w:rsidRDefault="00FD6E51" w:rsidP="0014030F"/>
    <w:p w:rsidR="00463060" w:rsidRPr="006B0D33" w:rsidRDefault="00FD6E51" w:rsidP="00D21F63">
      <w:pPr>
        <w:pStyle w:val="ListParagraph"/>
        <w:numPr>
          <w:ilvl w:val="0"/>
          <w:numId w:val="13"/>
        </w:numPr>
      </w:pPr>
      <w:r>
        <w:t>C</w:t>
      </w:r>
      <w:r w:rsidR="00820D13" w:rsidRPr="006B0D33">
        <w:t>omments and suggestions have been shared with relevant teams</w:t>
      </w:r>
      <w:r w:rsidR="004160E5" w:rsidRPr="006B0D33">
        <w:t xml:space="preserve"> responsible for specific services</w:t>
      </w:r>
      <w:r>
        <w:t>,</w:t>
      </w:r>
      <w:r w:rsidR="00820D13" w:rsidRPr="006B0D33">
        <w:t xml:space="preserve"> who have been putting in place a range of initiatives and action plans</w:t>
      </w:r>
      <w:r w:rsidR="004160E5" w:rsidRPr="006B0D33">
        <w:t xml:space="preserve"> to help drive improvement</w:t>
      </w:r>
      <w:r w:rsidR="00820D13" w:rsidRPr="006B0D33">
        <w:t xml:space="preserve">.  </w:t>
      </w:r>
      <w:r w:rsidR="007C73DA" w:rsidRPr="006B0D33">
        <w:t xml:space="preserve">It is also worth noting that </w:t>
      </w:r>
      <w:r w:rsidR="00655CA6" w:rsidRPr="006B0D33">
        <w:t xml:space="preserve">373 </w:t>
      </w:r>
      <w:r w:rsidR="007C73DA" w:rsidRPr="006B0D33">
        <w:t xml:space="preserve">comments made were positive </w:t>
      </w:r>
      <w:r w:rsidR="00655CA6" w:rsidRPr="006B0D33">
        <w:t>ones.</w:t>
      </w:r>
      <w:r w:rsidR="007C73DA" w:rsidRPr="006B0D33">
        <w:t xml:space="preserve"> </w:t>
      </w:r>
    </w:p>
    <w:p w:rsidR="00463060" w:rsidRPr="006B0D33" w:rsidRDefault="00463060" w:rsidP="0014030F"/>
    <w:p w:rsidR="0014030F" w:rsidRPr="006B0D33" w:rsidRDefault="0014030F" w:rsidP="00D21F63">
      <w:pPr>
        <w:pStyle w:val="ListParagraph"/>
        <w:numPr>
          <w:ilvl w:val="0"/>
          <w:numId w:val="13"/>
        </w:numPr>
      </w:pPr>
      <w:r w:rsidRPr="006B0D33">
        <w:t xml:space="preserve">The Tenant Involvement Team have also been contacting customers who indicated that they wanted to be involved in developing and improving services and these are adding to the growing ranks of </w:t>
      </w:r>
      <w:r w:rsidR="00FD6E51">
        <w:t>r</w:t>
      </w:r>
      <w:r w:rsidRPr="006B0D33">
        <w:t xml:space="preserve">esident </w:t>
      </w:r>
      <w:r w:rsidR="00FD6E51">
        <w:t>a</w:t>
      </w:r>
      <w:r w:rsidRPr="006B0D33">
        <w:t xml:space="preserve">mbassadors. </w:t>
      </w:r>
    </w:p>
    <w:p w:rsidR="0014030F" w:rsidRDefault="0014030F" w:rsidP="0014030F"/>
    <w:p w:rsidR="00A47EE1" w:rsidRDefault="00A47EE1" w:rsidP="00D21F63">
      <w:pPr>
        <w:pStyle w:val="ListParagraph"/>
        <w:numPr>
          <w:ilvl w:val="0"/>
          <w:numId w:val="13"/>
        </w:numPr>
      </w:pPr>
      <w:r>
        <w:t>The Tenant Involvement Team have been making contact with dissatisfied respondents willing to be contacted about their responses, in order to see:</w:t>
      </w:r>
    </w:p>
    <w:p w:rsidR="00A47EE1" w:rsidRDefault="00A47EE1" w:rsidP="0014030F"/>
    <w:p w:rsidR="00A47EE1" w:rsidRDefault="00A47EE1" w:rsidP="00A47EE1">
      <w:pPr>
        <w:pStyle w:val="ListParagraph"/>
        <w:numPr>
          <w:ilvl w:val="0"/>
          <w:numId w:val="9"/>
        </w:numPr>
      </w:pPr>
      <w:r>
        <w:t>whether or not the issue has now been fully resolved</w:t>
      </w:r>
    </w:p>
    <w:p w:rsidR="00A47EE1" w:rsidRDefault="00A47EE1" w:rsidP="00A47EE1">
      <w:pPr>
        <w:pStyle w:val="ListParagraph"/>
        <w:numPr>
          <w:ilvl w:val="0"/>
          <w:numId w:val="9"/>
        </w:numPr>
      </w:pPr>
      <w:r>
        <w:t>what sits behind their comments – is it a systemic problem or a single failure?</w:t>
      </w:r>
    </w:p>
    <w:p w:rsidR="00A47EE1" w:rsidRDefault="00A47EE1" w:rsidP="00A47EE1"/>
    <w:p w:rsidR="001B08B8" w:rsidRDefault="00A47EE1" w:rsidP="00D21F63">
      <w:pPr>
        <w:pStyle w:val="ListParagraph"/>
        <w:numPr>
          <w:ilvl w:val="0"/>
          <w:numId w:val="13"/>
        </w:numPr>
      </w:pPr>
      <w:r>
        <w:t>The learning</w:t>
      </w:r>
      <w:r w:rsidR="004B1CFA">
        <w:t>s</w:t>
      </w:r>
      <w:r>
        <w:t xml:space="preserve"> from these contacts will feed into service improvement plans. </w:t>
      </w:r>
      <w:r w:rsidR="00655CA6" w:rsidRPr="006B0D33">
        <w:t>Not unsurprisingly</w:t>
      </w:r>
      <w:r>
        <w:t>,</w:t>
      </w:r>
      <w:r w:rsidR="00655CA6" w:rsidRPr="006B0D33">
        <w:t xml:space="preserve"> t</w:t>
      </w:r>
      <w:r w:rsidR="001B08B8" w:rsidRPr="006B0D33">
        <w:t>he three most commented on areas were</w:t>
      </w:r>
      <w:r>
        <w:t>:</w:t>
      </w:r>
    </w:p>
    <w:p w:rsidR="00A47EE1" w:rsidRPr="006B0D33" w:rsidRDefault="00A47EE1" w:rsidP="0014030F"/>
    <w:p w:rsidR="001B08B8" w:rsidRPr="006B0D33" w:rsidRDefault="00FD6E51" w:rsidP="001B08B8">
      <w:pPr>
        <w:pStyle w:val="ListParagraph"/>
        <w:numPr>
          <w:ilvl w:val="0"/>
          <w:numId w:val="5"/>
        </w:numPr>
      </w:pPr>
      <w:r>
        <w:t>t</w:t>
      </w:r>
      <w:r w:rsidR="001B08B8" w:rsidRPr="006B0D33">
        <w:t>he repairs service</w:t>
      </w:r>
    </w:p>
    <w:p w:rsidR="001B08B8" w:rsidRPr="006B0D33" w:rsidRDefault="00FD6E51" w:rsidP="001B08B8">
      <w:pPr>
        <w:pStyle w:val="ListParagraph"/>
        <w:numPr>
          <w:ilvl w:val="0"/>
          <w:numId w:val="5"/>
        </w:numPr>
      </w:pPr>
      <w:r>
        <w:t>c</w:t>
      </w:r>
      <w:r w:rsidR="001B08B8" w:rsidRPr="006B0D33">
        <w:t>ustomer care/service</w:t>
      </w:r>
    </w:p>
    <w:p w:rsidR="001B08B8" w:rsidRPr="006B0D33" w:rsidRDefault="00FD6E51" w:rsidP="001B08B8">
      <w:pPr>
        <w:pStyle w:val="ListParagraph"/>
        <w:numPr>
          <w:ilvl w:val="0"/>
          <w:numId w:val="5"/>
        </w:numPr>
      </w:pPr>
      <w:r>
        <w:t>c</w:t>
      </w:r>
      <w:r w:rsidR="001B08B8" w:rsidRPr="006B0D33">
        <w:t>ommunications and information</w:t>
      </w:r>
    </w:p>
    <w:p w:rsidR="007C73DA" w:rsidRPr="006B0D33" w:rsidRDefault="007C73DA" w:rsidP="0014030F"/>
    <w:p w:rsidR="007C73DA" w:rsidRPr="004B1CFA" w:rsidRDefault="00501941" w:rsidP="0014030F">
      <w:pPr>
        <w:rPr>
          <w:i/>
        </w:rPr>
      </w:pPr>
      <w:r w:rsidRPr="004B1CFA">
        <w:rPr>
          <w:i/>
        </w:rPr>
        <w:t xml:space="preserve">A full breakdown of residents’ suggestions for improvement is provided in Appendix </w:t>
      </w:r>
      <w:r w:rsidR="0053413E" w:rsidRPr="004B1CFA">
        <w:rPr>
          <w:i/>
        </w:rPr>
        <w:t>C</w:t>
      </w:r>
      <w:r w:rsidRPr="004B1CFA">
        <w:rPr>
          <w:i/>
        </w:rPr>
        <w:t>.</w:t>
      </w:r>
    </w:p>
    <w:p w:rsidR="0079265C" w:rsidRDefault="0079265C" w:rsidP="00627530">
      <w:pPr>
        <w:rPr>
          <w:b/>
        </w:rPr>
      </w:pPr>
    </w:p>
    <w:p w:rsidR="00361AEE" w:rsidRDefault="00361AEE">
      <w:pPr>
        <w:rPr>
          <w:b/>
        </w:rPr>
      </w:pPr>
      <w:r>
        <w:rPr>
          <w:b/>
        </w:rPr>
        <w:br w:type="page"/>
      </w:r>
    </w:p>
    <w:p w:rsidR="00B53B87" w:rsidRDefault="00D567FE">
      <w:pPr>
        <w:rPr>
          <w:b/>
        </w:rPr>
      </w:pPr>
      <w:r w:rsidRPr="006B0D33">
        <w:rPr>
          <w:b/>
        </w:rPr>
        <w:t xml:space="preserve">Improvement </w:t>
      </w:r>
      <w:r w:rsidR="00FD6E51">
        <w:rPr>
          <w:b/>
        </w:rPr>
        <w:t>p</w:t>
      </w:r>
      <w:r w:rsidRPr="006B0D33">
        <w:rPr>
          <w:b/>
        </w:rPr>
        <w:t>lanning</w:t>
      </w:r>
    </w:p>
    <w:p w:rsidR="00D21F63" w:rsidRPr="006B0D33" w:rsidRDefault="00D21F63">
      <w:pPr>
        <w:rPr>
          <w:b/>
        </w:rPr>
      </w:pPr>
    </w:p>
    <w:p w:rsidR="0012385B" w:rsidRPr="006B0D33" w:rsidRDefault="001B08B8" w:rsidP="00D21F63">
      <w:pPr>
        <w:pStyle w:val="ListParagraph"/>
        <w:numPr>
          <w:ilvl w:val="0"/>
          <w:numId w:val="13"/>
        </w:numPr>
      </w:pPr>
      <w:r w:rsidRPr="006B0D33">
        <w:t xml:space="preserve">Taking a whole </w:t>
      </w:r>
      <w:r w:rsidR="003E0623">
        <w:t>C</w:t>
      </w:r>
      <w:r w:rsidR="00FE15DA" w:rsidRPr="006B0D33">
        <w:t>ouncil</w:t>
      </w:r>
      <w:r w:rsidRPr="006B0D33">
        <w:t xml:space="preserve"> approach key work streams have already been put in train as part of establishing an overall comprehensive improvement plan.</w:t>
      </w:r>
      <w:r w:rsidR="00BE4C94" w:rsidRPr="006B0D33">
        <w:t xml:space="preserve"> Key headlines </w:t>
      </w:r>
      <w:r w:rsidR="00463060" w:rsidRPr="006B0D33">
        <w:t xml:space="preserve">and work already underway </w:t>
      </w:r>
      <w:r w:rsidR="00BE4C94" w:rsidRPr="006B0D33">
        <w:t xml:space="preserve">are included in the sections below. </w:t>
      </w:r>
      <w:r w:rsidR="006A692A" w:rsidRPr="006B0D33">
        <w:t>Progress against the plan</w:t>
      </w:r>
      <w:r w:rsidR="00BE4C94" w:rsidRPr="006B0D33">
        <w:t xml:space="preserve"> will be presented to </w:t>
      </w:r>
      <w:r w:rsidR="00D567FE" w:rsidRPr="006B0D33">
        <w:t xml:space="preserve">the </w:t>
      </w:r>
      <w:r w:rsidR="0053413E">
        <w:t>p</w:t>
      </w:r>
      <w:r w:rsidR="00D567FE" w:rsidRPr="006B0D33">
        <w:t xml:space="preserve">ortfolio </w:t>
      </w:r>
      <w:r w:rsidR="0053413E">
        <w:t>h</w:t>
      </w:r>
      <w:r w:rsidR="00D567FE" w:rsidRPr="006B0D33">
        <w:t xml:space="preserve">older and </w:t>
      </w:r>
      <w:r w:rsidR="00BE4C94" w:rsidRPr="006B0D33">
        <w:t>February Housing Panel</w:t>
      </w:r>
      <w:r w:rsidR="006A692A" w:rsidRPr="006B0D33">
        <w:t xml:space="preserve"> with regular updates provided to subsequent meetings.</w:t>
      </w:r>
      <w:r w:rsidR="00BE4C94" w:rsidRPr="006B0D33">
        <w:t xml:space="preserve"> </w:t>
      </w:r>
    </w:p>
    <w:p w:rsidR="006A235A" w:rsidRPr="006B0D33" w:rsidRDefault="006A235A"/>
    <w:p w:rsidR="0079265C" w:rsidRDefault="00C37E42">
      <w:pPr>
        <w:rPr>
          <w:b/>
          <w:color w:val="000000" w:themeColor="text1"/>
        </w:rPr>
      </w:pPr>
      <w:r w:rsidRPr="006B0D33">
        <w:rPr>
          <w:b/>
          <w:color w:val="000000" w:themeColor="text1"/>
        </w:rPr>
        <w:t xml:space="preserve">Repairs </w:t>
      </w:r>
      <w:r w:rsidR="00EC3BB5">
        <w:rPr>
          <w:b/>
          <w:color w:val="000000" w:themeColor="text1"/>
        </w:rPr>
        <w:t>s</w:t>
      </w:r>
      <w:r w:rsidRPr="006B0D33">
        <w:rPr>
          <w:b/>
          <w:color w:val="000000" w:themeColor="text1"/>
        </w:rPr>
        <w:t>ervice</w:t>
      </w:r>
    </w:p>
    <w:p w:rsidR="00D21F63" w:rsidRPr="006B0D33" w:rsidRDefault="00D21F63">
      <w:pPr>
        <w:rPr>
          <w:b/>
          <w:color w:val="000000" w:themeColor="text1"/>
        </w:rPr>
      </w:pPr>
    </w:p>
    <w:p w:rsidR="00C37E42" w:rsidRPr="006B0D33" w:rsidRDefault="00EC3BB5" w:rsidP="00D21F63">
      <w:pPr>
        <w:pStyle w:val="ListParagraph"/>
        <w:numPr>
          <w:ilvl w:val="0"/>
          <w:numId w:val="13"/>
        </w:numPr>
      </w:pPr>
      <w:r>
        <w:t xml:space="preserve">Across all social landlords, </w:t>
      </w:r>
      <w:r w:rsidR="00D567FE" w:rsidRPr="006B0D33">
        <w:t>the</w:t>
      </w:r>
      <w:r w:rsidR="00C37E42" w:rsidRPr="006B0D33">
        <w:t xml:space="preserve"> biggest driver for tenant </w:t>
      </w:r>
      <w:r w:rsidR="005F5483">
        <w:t>dis</w:t>
      </w:r>
      <w:r w:rsidR="00C37E42" w:rsidRPr="006B0D33">
        <w:t>satisfaction is the day to day repairs service and 20% of the sugg</w:t>
      </w:r>
      <w:r w:rsidR="00357B4F" w:rsidRPr="006B0D33">
        <w:t>estions for improvements relate</w:t>
      </w:r>
      <w:r w:rsidR="00C37E42" w:rsidRPr="006B0D33">
        <w:t xml:space="preserve"> to repairs. </w:t>
      </w:r>
    </w:p>
    <w:p w:rsidR="00357B4F" w:rsidRPr="006B0D33" w:rsidRDefault="00357B4F" w:rsidP="00D21F63"/>
    <w:p w:rsidR="00357B4F" w:rsidRPr="006B0D33" w:rsidRDefault="005C002D" w:rsidP="00D21F63">
      <w:pPr>
        <w:pStyle w:val="ListParagraph"/>
        <w:numPr>
          <w:ilvl w:val="0"/>
          <w:numId w:val="13"/>
        </w:numPr>
      </w:pPr>
      <w:r w:rsidRPr="006B0D33">
        <w:t xml:space="preserve">A range of measures have </w:t>
      </w:r>
      <w:r w:rsidR="00EC3BB5">
        <w:t xml:space="preserve">been </w:t>
      </w:r>
      <w:r w:rsidRPr="006B0D33">
        <w:t>or are being put in place</w:t>
      </w:r>
      <w:r w:rsidR="00D567FE" w:rsidRPr="006B0D33">
        <w:t xml:space="preserve"> by ODS</w:t>
      </w:r>
      <w:r w:rsidRPr="006B0D33">
        <w:t xml:space="preserve"> to improve satisfaction with repairs</w:t>
      </w:r>
      <w:r w:rsidR="00EC3BB5">
        <w:t>. These include:</w:t>
      </w:r>
    </w:p>
    <w:p w:rsidR="005C002D" w:rsidRPr="006B0D33" w:rsidRDefault="005C002D" w:rsidP="005C002D"/>
    <w:p w:rsidR="005C002D" w:rsidRPr="006B0D33" w:rsidRDefault="005C002D" w:rsidP="005C002D">
      <w:pPr>
        <w:pStyle w:val="ListParagraph"/>
        <w:numPr>
          <w:ilvl w:val="0"/>
          <w:numId w:val="1"/>
        </w:numPr>
      </w:pPr>
      <w:r w:rsidRPr="006B0D33">
        <w:t>SMS messages to cover the confirmation of appointments, day before reminders, operative on the way notifications and post</w:t>
      </w:r>
      <w:r w:rsidR="00EC3BB5">
        <w:t>-</w:t>
      </w:r>
      <w:r w:rsidRPr="006B0D33">
        <w:t>work satisfaction surveys</w:t>
      </w:r>
    </w:p>
    <w:p w:rsidR="005C002D" w:rsidRPr="006B0D33" w:rsidRDefault="00FD6E51" w:rsidP="005C002D">
      <w:pPr>
        <w:pStyle w:val="ListParagraph"/>
        <w:numPr>
          <w:ilvl w:val="0"/>
          <w:numId w:val="1"/>
        </w:numPr>
      </w:pPr>
      <w:r>
        <w:t>l</w:t>
      </w:r>
      <w:r w:rsidR="005C002D" w:rsidRPr="006B0D33">
        <w:t>ive dashboards to deal immediately with less than satisfactory customer responses</w:t>
      </w:r>
    </w:p>
    <w:p w:rsidR="005C002D" w:rsidRPr="006B0D33" w:rsidRDefault="00FD6E51" w:rsidP="005C002D">
      <w:pPr>
        <w:pStyle w:val="ListParagraph"/>
        <w:numPr>
          <w:ilvl w:val="0"/>
          <w:numId w:val="1"/>
        </w:numPr>
      </w:pPr>
      <w:r>
        <w:t>u</w:t>
      </w:r>
      <w:r w:rsidR="005C002D" w:rsidRPr="006B0D33">
        <w:t>se of DRS (</w:t>
      </w:r>
      <w:r>
        <w:t>d</w:t>
      </w:r>
      <w:r w:rsidR="005C002D" w:rsidRPr="006B0D33">
        <w:t xml:space="preserve">ynamic </w:t>
      </w:r>
      <w:r>
        <w:t>r</w:t>
      </w:r>
      <w:r w:rsidR="005C002D" w:rsidRPr="006B0D33">
        <w:t xml:space="preserve">esource </w:t>
      </w:r>
      <w:r>
        <w:t>s</w:t>
      </w:r>
      <w:r w:rsidR="005C002D" w:rsidRPr="006B0D33">
        <w:t>cheduling) for operatives</w:t>
      </w:r>
      <w:r w:rsidR="00D567FE" w:rsidRPr="006B0D33">
        <w:t xml:space="preserve"> to improve responsiveness to customers</w:t>
      </w:r>
    </w:p>
    <w:p w:rsidR="005C002D" w:rsidRPr="006B0D33" w:rsidRDefault="005C002D" w:rsidP="005C002D">
      <w:pPr>
        <w:pStyle w:val="ListParagraph"/>
        <w:numPr>
          <w:ilvl w:val="0"/>
          <w:numId w:val="1"/>
        </w:numPr>
      </w:pPr>
      <w:r w:rsidRPr="006B0D33">
        <w:t>Grafton stock contract with on demand stock deliveries for fixed right first time repairs</w:t>
      </w:r>
    </w:p>
    <w:p w:rsidR="005C002D" w:rsidRPr="006B0D33" w:rsidRDefault="00FD6E51" w:rsidP="005C002D">
      <w:pPr>
        <w:pStyle w:val="ListParagraph"/>
        <w:numPr>
          <w:ilvl w:val="0"/>
          <w:numId w:val="1"/>
        </w:numPr>
      </w:pPr>
      <w:r>
        <w:t>u</w:t>
      </w:r>
      <w:r w:rsidR="005C002D" w:rsidRPr="006B0D33">
        <w:t xml:space="preserve">se of QL First Touch solution enables operatives to book follow up calls with customers whilst on site </w:t>
      </w:r>
    </w:p>
    <w:p w:rsidR="005C002D" w:rsidRPr="006B0D33" w:rsidRDefault="00FD6E51" w:rsidP="005C002D">
      <w:pPr>
        <w:pStyle w:val="ListParagraph"/>
        <w:numPr>
          <w:ilvl w:val="0"/>
          <w:numId w:val="1"/>
        </w:numPr>
      </w:pPr>
      <w:r>
        <w:t xml:space="preserve">the </w:t>
      </w:r>
      <w:r w:rsidR="005C002D" w:rsidRPr="006B0D33">
        <w:t xml:space="preserve">QL Portal </w:t>
      </w:r>
      <w:r w:rsidR="00D567FE" w:rsidRPr="006B0D33">
        <w:t xml:space="preserve">when implemented </w:t>
      </w:r>
      <w:r w:rsidR="005C002D" w:rsidRPr="006B0D33">
        <w:t>will enable tenants to report, view and track repairs</w:t>
      </w:r>
    </w:p>
    <w:p w:rsidR="00A25401" w:rsidRPr="006B0D33" w:rsidRDefault="00FD6E51" w:rsidP="005C002D">
      <w:pPr>
        <w:pStyle w:val="ListParagraph"/>
        <w:numPr>
          <w:ilvl w:val="0"/>
          <w:numId w:val="1"/>
        </w:numPr>
      </w:pPr>
      <w:r>
        <w:t>pro</w:t>
      </w:r>
      <w:r w:rsidR="00A25401" w:rsidRPr="006B0D33">
        <w:t xml:space="preserve">active </w:t>
      </w:r>
      <w:r w:rsidR="00D567FE" w:rsidRPr="006B0D33">
        <w:t>programme</w:t>
      </w:r>
      <w:r w:rsidR="00A25401" w:rsidRPr="006B0D33">
        <w:t xml:space="preserve"> to revisit cases where damp and mould have been reported in the past to review whether measures taken have worked or not</w:t>
      </w:r>
    </w:p>
    <w:p w:rsidR="00A25401" w:rsidRPr="006B0D33" w:rsidRDefault="00FD6E51" w:rsidP="005C002D">
      <w:pPr>
        <w:pStyle w:val="ListParagraph"/>
        <w:numPr>
          <w:ilvl w:val="0"/>
          <w:numId w:val="1"/>
        </w:numPr>
      </w:pPr>
      <w:r>
        <w:t>t</w:t>
      </w:r>
      <w:r w:rsidR="00A25401" w:rsidRPr="006B0D33">
        <w:t>rialling I</w:t>
      </w:r>
      <w:r w:rsidR="00EC3BB5">
        <w:t>o</w:t>
      </w:r>
      <w:r w:rsidR="00A25401" w:rsidRPr="006B0D33">
        <w:t xml:space="preserve">T </w:t>
      </w:r>
      <w:r w:rsidR="00EC3BB5">
        <w:t xml:space="preserve">(internet of things) </w:t>
      </w:r>
      <w:r w:rsidR="00A25401" w:rsidRPr="006B0D33">
        <w:t>monitoring with smart sensors to measure humidity</w:t>
      </w:r>
      <w:r w:rsidR="00EC3BB5">
        <w:t xml:space="preserve"> and</w:t>
      </w:r>
      <w:r w:rsidR="00A25401" w:rsidRPr="006B0D33">
        <w:t xml:space="preserve"> temperature in homes</w:t>
      </w:r>
    </w:p>
    <w:p w:rsidR="00CA55D7" w:rsidRPr="006B0D33" w:rsidRDefault="00FD6E51" w:rsidP="00CA55D7">
      <w:pPr>
        <w:pStyle w:val="ListParagraph"/>
        <w:numPr>
          <w:ilvl w:val="0"/>
          <w:numId w:val="1"/>
        </w:numPr>
      </w:pPr>
      <w:r>
        <w:t>c</w:t>
      </w:r>
      <w:r w:rsidR="00CA55D7" w:rsidRPr="006B0D33">
        <w:t xml:space="preserve">ustomer </w:t>
      </w:r>
      <w:r>
        <w:t>c</w:t>
      </w:r>
      <w:r w:rsidR="00CA55D7" w:rsidRPr="006B0D33">
        <w:t xml:space="preserve">are </w:t>
      </w:r>
      <w:r>
        <w:t>t</w:t>
      </w:r>
      <w:r w:rsidR="00CA55D7" w:rsidRPr="006B0D33">
        <w:t>raining for all staff centred on communication, behaviours and delive</w:t>
      </w:r>
      <w:r>
        <w:t>ring a right first time service</w:t>
      </w:r>
    </w:p>
    <w:p w:rsidR="00C37E42" w:rsidRPr="006B0D33" w:rsidRDefault="00C37E42"/>
    <w:p w:rsidR="00DB36A1" w:rsidRPr="006B0D33" w:rsidRDefault="00DB36A1" w:rsidP="00D21F63">
      <w:pPr>
        <w:pStyle w:val="ListParagraph"/>
        <w:numPr>
          <w:ilvl w:val="0"/>
          <w:numId w:val="13"/>
        </w:numPr>
      </w:pPr>
      <w:r w:rsidRPr="006B0D33">
        <w:t xml:space="preserve">ODS </w:t>
      </w:r>
      <w:r w:rsidR="003E0623">
        <w:t>is</w:t>
      </w:r>
      <w:r w:rsidRPr="006B0D33">
        <w:t xml:space="preserve"> implementing a new </w:t>
      </w:r>
      <w:r w:rsidR="00FD6E51">
        <w:t>c</w:t>
      </w:r>
      <w:r w:rsidRPr="006B0D33">
        <w:t xml:space="preserve">ustomer </w:t>
      </w:r>
      <w:r w:rsidR="00FD6E51">
        <w:t>s</w:t>
      </w:r>
      <w:r w:rsidRPr="006B0D33">
        <w:t xml:space="preserve">ervices </w:t>
      </w:r>
      <w:r w:rsidR="00FD6E51">
        <w:t>s</w:t>
      </w:r>
      <w:r w:rsidRPr="006B0D33">
        <w:t>trategy, encompassing customer experience, journey mapping, sentiment and real</w:t>
      </w:r>
      <w:r w:rsidR="00EC3BB5">
        <w:t xml:space="preserve"> </w:t>
      </w:r>
      <w:r w:rsidRPr="006B0D33">
        <w:t xml:space="preserve">time transactional performance </w:t>
      </w:r>
      <w:r w:rsidR="005C002D" w:rsidRPr="006B0D33">
        <w:t>management</w:t>
      </w:r>
      <w:r w:rsidRPr="006B0D33">
        <w:t xml:space="preserve">. This will provide insight into training and development needs and opportunities for ODS staff. ODS </w:t>
      </w:r>
      <w:r w:rsidR="003E0623">
        <w:t>colleagues are</w:t>
      </w:r>
      <w:r w:rsidRPr="006B0D33">
        <w:t xml:space="preserve"> working with Tenant Involvement and </w:t>
      </w:r>
      <w:r w:rsidR="00FD6E51">
        <w:t>r</w:t>
      </w:r>
      <w:r w:rsidRPr="006B0D33">
        <w:t xml:space="preserve">esident </w:t>
      </w:r>
      <w:r w:rsidR="00FD6E51">
        <w:t>a</w:t>
      </w:r>
      <w:r w:rsidRPr="006B0D33">
        <w:t>mbassadors to develop the survey questions and using customer feedback to l</w:t>
      </w:r>
      <w:r w:rsidR="00591BDB" w:rsidRPr="006B0D33">
        <w:t xml:space="preserve">earn what is important and what needs to change. </w:t>
      </w:r>
    </w:p>
    <w:p w:rsidR="005C002D" w:rsidRPr="006B0D33" w:rsidRDefault="005C002D"/>
    <w:p w:rsidR="00361AEE" w:rsidRDefault="00361AEE">
      <w:pPr>
        <w:rPr>
          <w:b/>
        </w:rPr>
      </w:pPr>
      <w:r>
        <w:rPr>
          <w:b/>
        </w:rPr>
        <w:br w:type="page"/>
      </w:r>
    </w:p>
    <w:p w:rsidR="005C002D" w:rsidRDefault="005C002D">
      <w:pPr>
        <w:rPr>
          <w:b/>
        </w:rPr>
      </w:pPr>
      <w:r w:rsidRPr="006B0D33">
        <w:rPr>
          <w:b/>
        </w:rPr>
        <w:t xml:space="preserve">Quality of the </w:t>
      </w:r>
      <w:r w:rsidR="00345E65">
        <w:rPr>
          <w:b/>
        </w:rPr>
        <w:t>h</w:t>
      </w:r>
      <w:r w:rsidRPr="006B0D33">
        <w:rPr>
          <w:b/>
        </w:rPr>
        <w:t xml:space="preserve">ome and the </w:t>
      </w:r>
      <w:r w:rsidR="00345E65">
        <w:rPr>
          <w:b/>
        </w:rPr>
        <w:t>n</w:t>
      </w:r>
      <w:r w:rsidRPr="006B0D33">
        <w:rPr>
          <w:b/>
        </w:rPr>
        <w:t>eighbourhood</w:t>
      </w:r>
      <w:r w:rsidR="007C508F" w:rsidRPr="006B0D33">
        <w:rPr>
          <w:b/>
        </w:rPr>
        <w:t xml:space="preserve"> – </w:t>
      </w:r>
      <w:r w:rsidR="00345E65">
        <w:rPr>
          <w:b/>
        </w:rPr>
        <w:t>p</w:t>
      </w:r>
      <w:r w:rsidR="007C508F" w:rsidRPr="006B0D33">
        <w:rPr>
          <w:b/>
        </w:rPr>
        <w:t xml:space="preserve">lanned </w:t>
      </w:r>
      <w:r w:rsidR="00345E65">
        <w:rPr>
          <w:b/>
        </w:rPr>
        <w:t>m</w:t>
      </w:r>
      <w:r w:rsidR="007C508F" w:rsidRPr="006B0D33">
        <w:rPr>
          <w:b/>
        </w:rPr>
        <w:t>aintenance</w:t>
      </w:r>
    </w:p>
    <w:p w:rsidR="00D21F63" w:rsidRPr="006B0D33" w:rsidRDefault="00D21F63">
      <w:pPr>
        <w:rPr>
          <w:b/>
        </w:rPr>
      </w:pPr>
    </w:p>
    <w:p w:rsidR="00FD6E51" w:rsidRDefault="00A25401" w:rsidP="00D21F63">
      <w:pPr>
        <w:pStyle w:val="ListParagraph"/>
        <w:numPr>
          <w:ilvl w:val="0"/>
          <w:numId w:val="13"/>
        </w:numPr>
      </w:pPr>
      <w:r w:rsidRPr="006B0D33">
        <w:t xml:space="preserve">Although the </w:t>
      </w:r>
      <w:r w:rsidR="003E0623">
        <w:t>C</w:t>
      </w:r>
      <w:r w:rsidR="00FE15DA" w:rsidRPr="006B0D33">
        <w:t>ouncil</w:t>
      </w:r>
      <w:r w:rsidRPr="006B0D33">
        <w:t xml:space="preserve"> has maintained its homes to the Decent Homes </w:t>
      </w:r>
      <w:r w:rsidR="00345E65">
        <w:t>s</w:t>
      </w:r>
      <w:r w:rsidRPr="006B0D33">
        <w:t>tandard</w:t>
      </w:r>
      <w:r w:rsidR="0063560E" w:rsidRPr="006B0D33">
        <w:t>, a significant</w:t>
      </w:r>
      <w:r w:rsidR="005F5483">
        <w:t>ly</w:t>
      </w:r>
      <w:r w:rsidR="0063560E" w:rsidRPr="006B0D33">
        <w:t xml:space="preserve"> increased </w:t>
      </w:r>
      <w:r w:rsidR="005F5483">
        <w:t xml:space="preserve">£51m </w:t>
      </w:r>
      <w:r w:rsidR="0063560E" w:rsidRPr="006B0D33">
        <w:t xml:space="preserve">investment programme has been included in the HRA </w:t>
      </w:r>
      <w:r w:rsidR="00345E65">
        <w:t>b</w:t>
      </w:r>
      <w:r w:rsidR="0063560E" w:rsidRPr="006B0D33">
        <w:t xml:space="preserve">usiness </w:t>
      </w:r>
      <w:r w:rsidR="00345E65">
        <w:t>p</w:t>
      </w:r>
      <w:r w:rsidR="0063560E" w:rsidRPr="006B0D33">
        <w:t xml:space="preserve">lan as part of the next </w:t>
      </w:r>
      <w:r w:rsidR="00345E65">
        <w:t>four year medium term financial p</w:t>
      </w:r>
      <w:r w:rsidR="0063560E" w:rsidRPr="006B0D33">
        <w:t xml:space="preserve">lan. </w:t>
      </w:r>
    </w:p>
    <w:p w:rsidR="00FD6E51" w:rsidRDefault="00FD6E51" w:rsidP="00D21F63"/>
    <w:p w:rsidR="001E185B" w:rsidRDefault="0063560E" w:rsidP="00D21F63">
      <w:pPr>
        <w:pStyle w:val="ListParagraph"/>
        <w:numPr>
          <w:ilvl w:val="0"/>
          <w:numId w:val="13"/>
        </w:numPr>
      </w:pPr>
      <w:r w:rsidRPr="006B0D33">
        <w:t>These programmes are targeted</w:t>
      </w:r>
      <w:r w:rsidR="001E185B" w:rsidRPr="006B0D33">
        <w:t xml:space="preserve"> to accelerate the replacement of key</w:t>
      </w:r>
      <w:r w:rsidRPr="006B0D33">
        <w:t xml:space="preserve"> asset management items</w:t>
      </w:r>
      <w:r w:rsidR="009F44B9">
        <w:t xml:space="preserve">, </w:t>
      </w:r>
      <w:r w:rsidRPr="006B0D33">
        <w:t>namely</w:t>
      </w:r>
      <w:r w:rsidR="00FD6E51">
        <w:t>:</w:t>
      </w:r>
    </w:p>
    <w:p w:rsidR="00FD6E51" w:rsidRPr="006B0D33" w:rsidRDefault="00FD6E51"/>
    <w:p w:rsidR="001E185B" w:rsidRPr="006B0D33" w:rsidRDefault="00FD6E51" w:rsidP="001E185B">
      <w:pPr>
        <w:pStyle w:val="ListParagraph"/>
        <w:numPr>
          <w:ilvl w:val="0"/>
          <w:numId w:val="4"/>
        </w:numPr>
      </w:pPr>
      <w:r>
        <w:t>doors and w</w:t>
      </w:r>
      <w:r w:rsidR="001E185B" w:rsidRPr="006B0D33">
        <w:t>indows</w:t>
      </w:r>
    </w:p>
    <w:p w:rsidR="001E185B" w:rsidRPr="006B0D33" w:rsidRDefault="00FD6E51" w:rsidP="001E185B">
      <w:pPr>
        <w:pStyle w:val="ListParagraph"/>
        <w:numPr>
          <w:ilvl w:val="0"/>
          <w:numId w:val="4"/>
        </w:numPr>
      </w:pPr>
      <w:r>
        <w:t>r</w:t>
      </w:r>
      <w:r w:rsidR="001E185B" w:rsidRPr="006B0D33">
        <w:t>e-roofing</w:t>
      </w:r>
    </w:p>
    <w:p w:rsidR="001E185B" w:rsidRPr="006B0D33" w:rsidRDefault="00FD6E51" w:rsidP="001E185B">
      <w:pPr>
        <w:pStyle w:val="ListParagraph"/>
        <w:numPr>
          <w:ilvl w:val="0"/>
          <w:numId w:val="4"/>
        </w:numPr>
      </w:pPr>
      <w:r>
        <w:t>s</w:t>
      </w:r>
      <w:r w:rsidR="001E185B" w:rsidRPr="006B0D33">
        <w:t>tructural repairs</w:t>
      </w:r>
    </w:p>
    <w:p w:rsidR="001E185B" w:rsidRPr="006B0D33" w:rsidRDefault="00FD6E51" w:rsidP="001E185B">
      <w:pPr>
        <w:pStyle w:val="ListParagraph"/>
        <w:numPr>
          <w:ilvl w:val="0"/>
          <w:numId w:val="4"/>
        </w:numPr>
      </w:pPr>
      <w:r>
        <w:t>l</w:t>
      </w:r>
      <w:r w:rsidR="001E185B" w:rsidRPr="006B0D33">
        <w:t>ifts and door phone entry systems</w:t>
      </w:r>
    </w:p>
    <w:p w:rsidR="001E185B" w:rsidRPr="006B0D33" w:rsidRDefault="00FD6E51" w:rsidP="001E185B">
      <w:pPr>
        <w:pStyle w:val="ListParagraph"/>
        <w:numPr>
          <w:ilvl w:val="0"/>
          <w:numId w:val="4"/>
        </w:numPr>
      </w:pPr>
      <w:r>
        <w:t>c</w:t>
      </w:r>
      <w:r w:rsidR="001E185B" w:rsidRPr="006B0D33">
        <w:t>yclical repairs and decoration</w:t>
      </w:r>
    </w:p>
    <w:p w:rsidR="00A25401" w:rsidRPr="006B0D33" w:rsidRDefault="00FD6E51" w:rsidP="001E185B">
      <w:pPr>
        <w:pStyle w:val="ListParagraph"/>
        <w:numPr>
          <w:ilvl w:val="0"/>
          <w:numId w:val="4"/>
        </w:numPr>
      </w:pPr>
      <w:r>
        <w:t>i</w:t>
      </w:r>
      <w:r w:rsidR="001E185B" w:rsidRPr="006B0D33">
        <w:t>nternal communal area improvements</w:t>
      </w:r>
      <w:r w:rsidR="00A25401" w:rsidRPr="006B0D33">
        <w:t xml:space="preserve"> </w:t>
      </w:r>
    </w:p>
    <w:p w:rsidR="00A25401" w:rsidRPr="006B0D33" w:rsidRDefault="00A25401"/>
    <w:p w:rsidR="00A25401" w:rsidRPr="006B0D33" w:rsidRDefault="00A25401" w:rsidP="00D21F63">
      <w:pPr>
        <w:pStyle w:val="ListParagraph"/>
        <w:numPr>
          <w:ilvl w:val="0"/>
          <w:numId w:val="13"/>
        </w:numPr>
      </w:pPr>
      <w:r w:rsidRPr="006B0D33">
        <w:t>Investment continues to be made through the Great Estates programme for flat block improvements and parking</w:t>
      </w:r>
      <w:r w:rsidR="0069390A">
        <w:t>. T</w:t>
      </w:r>
      <w:r w:rsidRPr="006B0D33">
        <w:t xml:space="preserve">he expectations set out in the </w:t>
      </w:r>
      <w:r w:rsidR="009F44B9">
        <w:t>s</w:t>
      </w:r>
      <w:r w:rsidRPr="006B0D33">
        <w:t xml:space="preserve">ocial </w:t>
      </w:r>
      <w:r w:rsidR="009F44B9">
        <w:t>h</w:t>
      </w:r>
      <w:r w:rsidRPr="006B0D33">
        <w:t xml:space="preserve">ousing White Paper are that the Decent Homes </w:t>
      </w:r>
      <w:r w:rsidR="009F44B9">
        <w:t>s</w:t>
      </w:r>
      <w:r w:rsidRPr="006B0D33">
        <w:t xml:space="preserve">tandard will be extended to include external communal areas of blocks and the overall condition of the wider estates. </w:t>
      </w:r>
    </w:p>
    <w:p w:rsidR="007C508F" w:rsidRPr="006B0D33" w:rsidRDefault="007C508F" w:rsidP="00D21F63"/>
    <w:p w:rsidR="001E185B" w:rsidRPr="006B0D33" w:rsidRDefault="007C508F" w:rsidP="00D21F63">
      <w:pPr>
        <w:pStyle w:val="ListParagraph"/>
        <w:numPr>
          <w:ilvl w:val="0"/>
          <w:numId w:val="13"/>
        </w:numPr>
      </w:pPr>
      <w:r w:rsidRPr="006B0D33">
        <w:t>There is however still a low</w:t>
      </w:r>
      <w:r w:rsidR="00991621" w:rsidRPr="006B0D33">
        <w:t>er</w:t>
      </w:r>
      <w:r w:rsidRPr="006B0D33">
        <w:t xml:space="preserve"> level of satisfaction with the condition of the home and </w:t>
      </w:r>
      <w:r w:rsidR="001E185B" w:rsidRPr="006B0D33">
        <w:t xml:space="preserve">the draft budget includes provision for </w:t>
      </w:r>
      <w:r w:rsidRPr="006B0D33">
        <w:t xml:space="preserve">a full stock condition survey to assess what work is needed over and above </w:t>
      </w:r>
      <w:r w:rsidR="0069390A">
        <w:t>D</w:t>
      </w:r>
      <w:r w:rsidRPr="006B0D33">
        <w:t xml:space="preserve">ecent </w:t>
      </w:r>
      <w:r w:rsidR="0069390A">
        <w:t>H</w:t>
      </w:r>
      <w:r w:rsidRPr="006B0D33">
        <w:t>omes</w:t>
      </w:r>
      <w:r w:rsidR="0069390A">
        <w:t xml:space="preserve"> in future</w:t>
      </w:r>
      <w:r w:rsidR="001E185B" w:rsidRPr="006B0D33">
        <w:t>.</w:t>
      </w:r>
      <w:r w:rsidR="00CA55D7" w:rsidRPr="006B0D33">
        <w:t xml:space="preserve"> The current void property re-let standard is</w:t>
      </w:r>
      <w:r w:rsidR="00D567FE" w:rsidRPr="006B0D33">
        <w:t xml:space="preserve"> also</w:t>
      </w:r>
      <w:r w:rsidR="00CA55D7" w:rsidRPr="006B0D33">
        <w:t xml:space="preserve"> being reviewed</w:t>
      </w:r>
      <w:r w:rsidR="00D567FE" w:rsidRPr="006B0D33">
        <w:t>.</w:t>
      </w:r>
    </w:p>
    <w:p w:rsidR="001E185B" w:rsidRPr="006B0D33" w:rsidRDefault="001E185B" w:rsidP="00D21F63"/>
    <w:p w:rsidR="00A25401" w:rsidRPr="006B0D33" w:rsidRDefault="001E185B" w:rsidP="00D21F63">
      <w:pPr>
        <w:pStyle w:val="ListParagraph"/>
        <w:numPr>
          <w:ilvl w:val="0"/>
          <w:numId w:val="13"/>
        </w:numPr>
      </w:pPr>
      <w:r w:rsidRPr="006B0D33">
        <w:t>A</w:t>
      </w:r>
      <w:r w:rsidR="005F5483">
        <w:t>n £8.7m</w:t>
      </w:r>
      <w:r w:rsidR="007C508F" w:rsidRPr="006B0D33">
        <w:t xml:space="preserve"> </w:t>
      </w:r>
      <w:r w:rsidRPr="006B0D33">
        <w:t>investment programme to improve the energy efficiency of homes and reduce carbon is already underway</w:t>
      </w:r>
      <w:r w:rsidR="00BE4C94" w:rsidRPr="006B0D33">
        <w:t>.</w:t>
      </w:r>
    </w:p>
    <w:p w:rsidR="00A25401" w:rsidRPr="006B0D33" w:rsidRDefault="00A25401"/>
    <w:p w:rsidR="007C508F" w:rsidRDefault="007C508F" w:rsidP="1415B050">
      <w:pPr>
        <w:rPr>
          <w:b/>
          <w:bCs/>
        </w:rPr>
      </w:pPr>
      <w:r w:rsidRPr="006B0D33">
        <w:rPr>
          <w:b/>
          <w:bCs/>
        </w:rPr>
        <w:t>Communications</w:t>
      </w:r>
      <w:r w:rsidR="007514D3" w:rsidRPr="006B0D33">
        <w:rPr>
          <w:b/>
          <w:bCs/>
        </w:rPr>
        <w:t xml:space="preserve"> and </w:t>
      </w:r>
      <w:r w:rsidR="00345E65">
        <w:rPr>
          <w:b/>
          <w:bCs/>
        </w:rPr>
        <w:t>e</w:t>
      </w:r>
      <w:r w:rsidR="007514D3" w:rsidRPr="006B0D33">
        <w:rPr>
          <w:b/>
          <w:bCs/>
        </w:rPr>
        <w:t>ngagement</w:t>
      </w:r>
    </w:p>
    <w:p w:rsidR="00D21F63" w:rsidRPr="006B0D33" w:rsidRDefault="00D21F63" w:rsidP="1415B050">
      <w:pPr>
        <w:rPr>
          <w:b/>
          <w:bCs/>
        </w:rPr>
      </w:pPr>
    </w:p>
    <w:p w:rsidR="0069390A" w:rsidRDefault="00AC0E3E" w:rsidP="00D21F63">
      <w:pPr>
        <w:pStyle w:val="ListParagraph"/>
        <w:numPr>
          <w:ilvl w:val="0"/>
          <w:numId w:val="13"/>
        </w:numPr>
      </w:pPr>
      <w:r w:rsidRPr="006B0D33">
        <w:t xml:space="preserve">There are </w:t>
      </w:r>
      <w:r w:rsidR="00991621" w:rsidRPr="006B0D33">
        <w:t>a number of</w:t>
      </w:r>
      <w:r w:rsidRPr="006B0D33">
        <w:t xml:space="preserve"> emerging areas where </w:t>
      </w:r>
      <w:r w:rsidR="00991621" w:rsidRPr="006B0D33">
        <w:t xml:space="preserve">increasing the </w:t>
      </w:r>
      <w:r w:rsidRPr="006B0D33">
        <w:t>effective</w:t>
      </w:r>
      <w:r w:rsidR="00991621" w:rsidRPr="006B0D33">
        <w:t>ness of</w:t>
      </w:r>
      <w:r w:rsidRPr="006B0D33">
        <w:t xml:space="preserve"> engagement</w:t>
      </w:r>
      <w:r w:rsidR="00BE4C94" w:rsidRPr="006B0D33">
        <w:t xml:space="preserve"> with tenants is vital</w:t>
      </w:r>
      <w:r w:rsidRPr="006B0D33">
        <w:t>, including</w:t>
      </w:r>
      <w:r w:rsidR="0069390A">
        <w:t>:</w:t>
      </w:r>
    </w:p>
    <w:p w:rsidR="0069390A" w:rsidRDefault="0069390A" w:rsidP="00AC0E3E"/>
    <w:p w:rsidR="0069390A" w:rsidRDefault="00AC0E3E" w:rsidP="0069390A">
      <w:pPr>
        <w:pStyle w:val="ListParagraph"/>
        <w:numPr>
          <w:ilvl w:val="0"/>
          <w:numId w:val="10"/>
        </w:numPr>
      </w:pPr>
      <w:r w:rsidRPr="006B0D33">
        <w:t>building safety</w:t>
      </w:r>
    </w:p>
    <w:p w:rsidR="0069390A" w:rsidRDefault="0087122A" w:rsidP="0069390A">
      <w:pPr>
        <w:pStyle w:val="ListParagraph"/>
        <w:numPr>
          <w:ilvl w:val="0"/>
          <w:numId w:val="10"/>
        </w:numPr>
      </w:pPr>
      <w:r w:rsidRPr="006B0D33">
        <w:t xml:space="preserve">personal </w:t>
      </w:r>
      <w:r w:rsidR="00AC0E3E" w:rsidRPr="006B0D33">
        <w:t>fire safety</w:t>
      </w:r>
    </w:p>
    <w:p w:rsidR="0069390A" w:rsidRDefault="00AC0E3E" w:rsidP="0069390A">
      <w:pPr>
        <w:pStyle w:val="ListParagraph"/>
        <w:numPr>
          <w:ilvl w:val="0"/>
          <w:numId w:val="10"/>
        </w:numPr>
      </w:pPr>
      <w:r w:rsidRPr="006B0D33">
        <w:t xml:space="preserve">the </w:t>
      </w:r>
      <w:r w:rsidR="00991621" w:rsidRPr="006B0D33">
        <w:t>carbon reduction</w:t>
      </w:r>
      <w:r w:rsidRPr="006B0D33">
        <w:t xml:space="preserve"> agenda</w:t>
      </w:r>
    </w:p>
    <w:p w:rsidR="0069390A" w:rsidRDefault="00AC0E3E" w:rsidP="0069390A">
      <w:pPr>
        <w:pStyle w:val="ListParagraph"/>
        <w:numPr>
          <w:ilvl w:val="0"/>
          <w:numId w:val="10"/>
        </w:numPr>
      </w:pPr>
      <w:r w:rsidRPr="006B0D33">
        <w:t>digital channel shift</w:t>
      </w:r>
    </w:p>
    <w:p w:rsidR="00AC0E3E" w:rsidRPr="006B0D33" w:rsidRDefault="00AC0E3E" w:rsidP="0069390A">
      <w:pPr>
        <w:pStyle w:val="ListParagraph"/>
        <w:numPr>
          <w:ilvl w:val="0"/>
          <w:numId w:val="10"/>
        </w:numPr>
      </w:pPr>
      <w:r w:rsidRPr="006B0D33">
        <w:t>the need to capture accurately tenants’ personal data, contact details, data preferences and protected characteristic information so that reasonable adjustments to services can be made where necessary.</w:t>
      </w:r>
    </w:p>
    <w:p w:rsidR="00AC0E3E" w:rsidRPr="006B0D33" w:rsidRDefault="00AC0E3E" w:rsidP="00AC0E3E"/>
    <w:p w:rsidR="00AC0E3E" w:rsidRDefault="007C508F" w:rsidP="00D21F63">
      <w:pPr>
        <w:pStyle w:val="ListParagraph"/>
        <w:numPr>
          <w:ilvl w:val="0"/>
          <w:numId w:val="13"/>
        </w:numPr>
      </w:pPr>
      <w:r w:rsidRPr="006B0D33">
        <w:t xml:space="preserve">There is a clear message that a </w:t>
      </w:r>
      <w:r w:rsidR="00991621" w:rsidRPr="006B0D33">
        <w:t xml:space="preserve">significant proportion </w:t>
      </w:r>
      <w:r w:rsidRPr="006B0D33">
        <w:t xml:space="preserve">of tenants </w:t>
      </w:r>
      <w:r w:rsidR="00991621" w:rsidRPr="006B0D33">
        <w:t>who do</w:t>
      </w:r>
      <w:r w:rsidRPr="006B0D33">
        <w:t xml:space="preserve"> not consider that their views are being listened to and acted upon. Listening and engaging with tenants on an individual basis is a key feature of the </w:t>
      </w:r>
      <w:r w:rsidR="00345E65">
        <w:t>s</w:t>
      </w:r>
      <w:r w:rsidRPr="006B0D33">
        <w:t xml:space="preserve">ocial </w:t>
      </w:r>
      <w:r w:rsidR="00345E65">
        <w:t>h</w:t>
      </w:r>
      <w:r w:rsidRPr="006B0D33">
        <w:t xml:space="preserve">ousing White Paper </w:t>
      </w:r>
      <w:r w:rsidR="00991621" w:rsidRPr="006B0D33">
        <w:t>and will be a key theme under the new</w:t>
      </w:r>
      <w:r w:rsidR="009F44B9">
        <w:t xml:space="preserve"> regulatory regime.</w:t>
      </w:r>
      <w:r w:rsidR="0000537D" w:rsidRPr="006B0D33">
        <w:t xml:space="preserve"> </w:t>
      </w:r>
    </w:p>
    <w:p w:rsidR="00361AEE" w:rsidRDefault="00361AEE">
      <w:r>
        <w:br w:type="page"/>
      </w:r>
    </w:p>
    <w:p w:rsidR="005F5483" w:rsidRDefault="005F5483" w:rsidP="00D21F63"/>
    <w:p w:rsidR="005F5483" w:rsidRPr="006B0D33" w:rsidRDefault="003E0623" w:rsidP="00D21F63">
      <w:pPr>
        <w:pStyle w:val="ListParagraph"/>
        <w:numPr>
          <w:ilvl w:val="0"/>
          <w:numId w:val="13"/>
        </w:numPr>
      </w:pPr>
      <w:r>
        <w:t>While as a proportion they are much smaller in number, t</w:t>
      </w:r>
      <w:r w:rsidR="005F5483">
        <w:t>enants aged under 25 are significantly less satisfied than older tenants – particularly those aged over 60</w:t>
      </w:r>
      <w:r>
        <w:t>. I</w:t>
      </w:r>
      <w:r w:rsidR="005F5483">
        <w:t xml:space="preserve">mproving our digital offer will be vital in delivering improved communications to and engagement with younger age groups. </w:t>
      </w:r>
    </w:p>
    <w:p w:rsidR="00AC0E3E" w:rsidRPr="006B0D33" w:rsidRDefault="00AC0E3E" w:rsidP="00D21F63"/>
    <w:p w:rsidR="009F44B9" w:rsidRDefault="007514D3" w:rsidP="00D21F63">
      <w:pPr>
        <w:pStyle w:val="ListParagraph"/>
        <w:numPr>
          <w:ilvl w:val="0"/>
          <w:numId w:val="13"/>
        </w:numPr>
      </w:pPr>
      <w:r w:rsidRPr="006B0D33">
        <w:t>The</w:t>
      </w:r>
      <w:r w:rsidR="001E185B" w:rsidRPr="006B0D33">
        <w:t xml:space="preserve"> draft budget contains proposals to</w:t>
      </w:r>
      <w:r w:rsidR="007C508F" w:rsidRPr="006B0D33">
        <w:t xml:space="preserve"> provide the </w:t>
      </w:r>
      <w:r w:rsidR="00991621" w:rsidRPr="006B0D33">
        <w:t xml:space="preserve">organisation capacity </w:t>
      </w:r>
      <w:r w:rsidR="007C508F" w:rsidRPr="006B0D33">
        <w:t>to carry out this important engagement activity and reconnect with our tenants to find out their views and what is important to them.</w:t>
      </w:r>
      <w:r w:rsidR="00D567FE" w:rsidRPr="006B0D33">
        <w:t xml:space="preserve"> Assuming the budget is approved</w:t>
      </w:r>
      <w:r w:rsidR="009F44B9">
        <w:t>,</w:t>
      </w:r>
      <w:r w:rsidR="00D567FE" w:rsidRPr="006B0D33">
        <w:t xml:space="preserve"> </w:t>
      </w:r>
      <w:r w:rsidR="00AC0E3E" w:rsidRPr="006B0D33">
        <w:t xml:space="preserve">home visits </w:t>
      </w:r>
      <w:r w:rsidR="0087122A" w:rsidRPr="006B0D33">
        <w:t xml:space="preserve">will be carried out </w:t>
      </w:r>
      <w:r w:rsidR="00AC0E3E" w:rsidRPr="006B0D33">
        <w:t>during 2022 and 2023</w:t>
      </w:r>
      <w:r w:rsidR="00D567FE" w:rsidRPr="006B0D33">
        <w:t>. A multi</w:t>
      </w:r>
      <w:r w:rsidR="00345E65">
        <w:t>-</w:t>
      </w:r>
      <w:r w:rsidR="00D567FE" w:rsidRPr="006B0D33">
        <w:t>layered targeted approach is being worked on</w:t>
      </w:r>
      <w:r w:rsidR="00FA426F" w:rsidRPr="006B0D33">
        <w:t xml:space="preserve"> which will need to cater for</w:t>
      </w:r>
      <w:r w:rsidR="009F44B9">
        <w:t>:</w:t>
      </w:r>
    </w:p>
    <w:p w:rsidR="00FA426F" w:rsidRPr="006B0D33" w:rsidRDefault="00FA426F">
      <w:r w:rsidRPr="006B0D33">
        <w:t xml:space="preserve"> </w:t>
      </w:r>
    </w:p>
    <w:p w:rsidR="00FA426F" w:rsidRPr="006B0D33" w:rsidRDefault="009F44B9" w:rsidP="00FA426F">
      <w:pPr>
        <w:pStyle w:val="ListParagraph"/>
        <w:numPr>
          <w:ilvl w:val="0"/>
          <w:numId w:val="8"/>
        </w:numPr>
      </w:pPr>
      <w:r>
        <w:t xml:space="preserve">a </w:t>
      </w:r>
      <w:r w:rsidR="00FA426F" w:rsidRPr="006B0D33">
        <w:t xml:space="preserve">concentration on those vulnerable households where </w:t>
      </w:r>
      <w:r>
        <w:t>tenancy sustainment is an issue</w:t>
      </w:r>
      <w:r w:rsidR="00FA426F" w:rsidRPr="006B0D33">
        <w:t xml:space="preserve"> </w:t>
      </w:r>
    </w:p>
    <w:p w:rsidR="00FA426F" w:rsidRPr="006B0D33" w:rsidRDefault="00FA426F" w:rsidP="00FA426F">
      <w:pPr>
        <w:pStyle w:val="ListParagraph"/>
        <w:numPr>
          <w:ilvl w:val="0"/>
          <w:numId w:val="8"/>
        </w:numPr>
      </w:pPr>
      <w:r w:rsidRPr="006B0D33">
        <w:t>those where there are fire and other health and safety considerations</w:t>
      </w:r>
    </w:p>
    <w:p w:rsidR="00FA426F" w:rsidRPr="006B0D33" w:rsidRDefault="00FA426F" w:rsidP="00FA426F">
      <w:pPr>
        <w:pStyle w:val="ListParagraph"/>
        <w:numPr>
          <w:ilvl w:val="0"/>
          <w:numId w:val="8"/>
        </w:numPr>
      </w:pPr>
      <w:r w:rsidRPr="006B0D33">
        <w:t>engagement with our carbon reduction planning</w:t>
      </w:r>
      <w:r w:rsidR="009F44B9">
        <w:t>,</w:t>
      </w:r>
      <w:r w:rsidRPr="006B0D33">
        <w:t xml:space="preserve"> which will be driven by property type data</w:t>
      </w:r>
    </w:p>
    <w:p w:rsidR="00FA426F" w:rsidRPr="006B0D33" w:rsidRDefault="00FA426F" w:rsidP="00FA426F">
      <w:pPr>
        <w:pStyle w:val="ListParagraph"/>
        <w:numPr>
          <w:ilvl w:val="0"/>
          <w:numId w:val="8"/>
        </w:numPr>
      </w:pPr>
      <w:r w:rsidRPr="006B0D33">
        <w:t xml:space="preserve">engagement with the age group with lowest satisfaction levels to better understand their needs and expectations </w:t>
      </w:r>
    </w:p>
    <w:p w:rsidR="00FA426F" w:rsidRPr="006B0D33" w:rsidRDefault="00FA426F" w:rsidP="0070689D"/>
    <w:p w:rsidR="0070689D" w:rsidRPr="006B0D33" w:rsidRDefault="0070689D" w:rsidP="00D21F63">
      <w:pPr>
        <w:pStyle w:val="ListParagraph"/>
        <w:numPr>
          <w:ilvl w:val="0"/>
          <w:numId w:val="13"/>
        </w:numPr>
      </w:pPr>
      <w:r w:rsidRPr="006B0D33">
        <w:t xml:space="preserve">A communications and engagement campaign has been devised to support the decarbonisation agenda and the retrofitting of </w:t>
      </w:r>
      <w:r w:rsidR="0053413E">
        <w:t>c</w:t>
      </w:r>
      <w:r w:rsidR="00FE15DA" w:rsidRPr="006B0D33">
        <w:t>ouncil</w:t>
      </w:r>
      <w:r w:rsidRPr="006B0D33">
        <w:t xml:space="preserve"> homes with energy efficient improvements</w:t>
      </w:r>
      <w:r w:rsidR="009F44B9">
        <w:t>. T</w:t>
      </w:r>
      <w:r w:rsidRPr="006B0D33">
        <w:t xml:space="preserve">his campaign is complimentary to the engagement activity generally. </w:t>
      </w:r>
    </w:p>
    <w:p w:rsidR="0070689D" w:rsidRPr="006B0D33" w:rsidRDefault="0070689D" w:rsidP="00D21F63"/>
    <w:p w:rsidR="0070689D" w:rsidRPr="006B0D33" w:rsidRDefault="0070689D" w:rsidP="00D21F63">
      <w:pPr>
        <w:pStyle w:val="ListParagraph"/>
        <w:numPr>
          <w:ilvl w:val="0"/>
          <w:numId w:val="13"/>
        </w:numPr>
      </w:pPr>
      <w:r w:rsidRPr="006B0D33">
        <w:t xml:space="preserve">There are a growing number of </w:t>
      </w:r>
      <w:r w:rsidR="0053413E">
        <w:t>r</w:t>
      </w:r>
      <w:r w:rsidRPr="006B0D33">
        <w:t xml:space="preserve">esident </w:t>
      </w:r>
      <w:r w:rsidR="0053413E">
        <w:t>a</w:t>
      </w:r>
      <w:r w:rsidRPr="006B0D33">
        <w:t>mbassadors</w:t>
      </w:r>
      <w:r w:rsidR="009F44B9">
        <w:t>, both tenants and leaseholders. W</w:t>
      </w:r>
      <w:r w:rsidRPr="006B0D33">
        <w:t xml:space="preserve">ork is underway with them to set up a broad group of advocates/champions and assist with engagement activities, promoting the benefits of effective engagement. </w:t>
      </w:r>
    </w:p>
    <w:p w:rsidR="00333AD9" w:rsidRPr="006B0D33" w:rsidRDefault="00333AD9" w:rsidP="00D21F63"/>
    <w:p w:rsidR="00591BDB" w:rsidRPr="00D21F63" w:rsidRDefault="00120942" w:rsidP="00D21F63">
      <w:pPr>
        <w:rPr>
          <w:b/>
        </w:rPr>
      </w:pPr>
      <w:r w:rsidRPr="00D21F63">
        <w:rPr>
          <w:b/>
        </w:rPr>
        <w:t>Antisocial behaviour</w:t>
      </w:r>
    </w:p>
    <w:p w:rsidR="00D21F63" w:rsidRPr="00D21F63" w:rsidRDefault="00D21F63" w:rsidP="00D21F63"/>
    <w:p w:rsidR="0014030F" w:rsidRPr="006B0D33" w:rsidRDefault="0014030F" w:rsidP="00D21F63">
      <w:pPr>
        <w:pStyle w:val="ListParagraph"/>
        <w:numPr>
          <w:ilvl w:val="0"/>
          <w:numId w:val="13"/>
        </w:numPr>
      </w:pPr>
      <w:r w:rsidRPr="006B0D33">
        <w:t xml:space="preserve">Satisfaction with </w:t>
      </w:r>
      <w:r w:rsidR="0053413E">
        <w:t>antisocial</w:t>
      </w:r>
      <w:r w:rsidRPr="006B0D33">
        <w:t xml:space="preserve"> behaviour and the outcomes is </w:t>
      </w:r>
      <w:r w:rsidR="003E0623">
        <w:t>typically</w:t>
      </w:r>
      <w:r w:rsidRPr="006B0D33">
        <w:t xml:space="preserve"> low</w:t>
      </w:r>
      <w:r w:rsidR="00120942">
        <w:t>. O</w:t>
      </w:r>
      <w:r w:rsidRPr="006B0D33">
        <w:t>ften</w:t>
      </w:r>
      <w:r w:rsidR="00120942">
        <w:t>,</w:t>
      </w:r>
      <w:r w:rsidRPr="006B0D33">
        <w:t xml:space="preserve"> the victim wants far more draconian and punitive sanctions put in place to deal with a perpetrator rather than the behaviours simply stopping. </w:t>
      </w:r>
      <w:r w:rsidR="00333AD9" w:rsidRPr="006B0D33">
        <w:t xml:space="preserve">While the number of tenant interactions with the ASB service is low when compared to other main services, the satisfaction level </w:t>
      </w:r>
      <w:r w:rsidR="00FA426F" w:rsidRPr="006B0D33">
        <w:t xml:space="preserve">with case work outcome </w:t>
      </w:r>
      <w:r w:rsidR="00333AD9" w:rsidRPr="006B0D33">
        <w:t xml:space="preserve">is low. </w:t>
      </w:r>
    </w:p>
    <w:p w:rsidR="0014030F" w:rsidRPr="006B0D33" w:rsidRDefault="0014030F" w:rsidP="00D21F63"/>
    <w:p w:rsidR="0014030F" w:rsidRPr="006B0D33" w:rsidRDefault="0014030F" w:rsidP="00D21F63">
      <w:pPr>
        <w:pStyle w:val="ListParagraph"/>
        <w:numPr>
          <w:ilvl w:val="0"/>
          <w:numId w:val="13"/>
        </w:numPr>
      </w:pPr>
      <w:r w:rsidRPr="006B0D33">
        <w:t xml:space="preserve">The Community Safety service is </w:t>
      </w:r>
      <w:r w:rsidR="001E185B" w:rsidRPr="006B0D33">
        <w:t>giving consideration to how to c</w:t>
      </w:r>
      <w:r w:rsidRPr="006B0D33">
        <w:t>arry out case reviews with those respondents who indicated that they were unhappy with how various elements of their cases were handled and will be contact</w:t>
      </w:r>
      <w:r w:rsidR="001E185B" w:rsidRPr="006B0D33">
        <w:t>ing</w:t>
      </w:r>
      <w:r w:rsidRPr="006B0D33">
        <w:t xml:space="preserve"> those tenants to find out how the service can be improved. </w:t>
      </w:r>
    </w:p>
    <w:p w:rsidR="007C73DA" w:rsidRPr="006B0D33" w:rsidRDefault="007C73DA" w:rsidP="00D21F63"/>
    <w:p w:rsidR="007C73DA" w:rsidRPr="006B0D33" w:rsidRDefault="007C73DA" w:rsidP="00D21F63">
      <w:pPr>
        <w:pStyle w:val="ListParagraph"/>
        <w:numPr>
          <w:ilvl w:val="0"/>
          <w:numId w:val="13"/>
        </w:numPr>
      </w:pPr>
      <w:r w:rsidRPr="006B0D33">
        <w:t xml:space="preserve">The </w:t>
      </w:r>
      <w:r w:rsidR="003E0623">
        <w:t>C</w:t>
      </w:r>
      <w:r w:rsidR="00FE15DA" w:rsidRPr="006B0D33">
        <w:t>ouncil</w:t>
      </w:r>
      <w:r w:rsidRPr="006B0D33">
        <w:t xml:space="preserve"> has also recently </w:t>
      </w:r>
      <w:r w:rsidR="00C16714" w:rsidRPr="006B0D33">
        <w:t xml:space="preserve">agreed </w:t>
      </w:r>
      <w:r w:rsidRPr="006B0D33">
        <w:t xml:space="preserve">an updated </w:t>
      </w:r>
      <w:r w:rsidR="00120942">
        <w:t>a</w:t>
      </w:r>
      <w:r w:rsidR="0053413E">
        <w:t>ntisocial</w:t>
      </w:r>
      <w:r w:rsidRPr="006B0D33">
        <w:t xml:space="preserve"> </w:t>
      </w:r>
      <w:r w:rsidR="00120942">
        <w:t>b</w:t>
      </w:r>
      <w:r w:rsidRPr="006B0D33">
        <w:t xml:space="preserve">ehaviour </w:t>
      </w:r>
      <w:r w:rsidR="00120942">
        <w:t>p</w:t>
      </w:r>
      <w:r w:rsidRPr="006B0D33">
        <w:t xml:space="preserve">olicy which focuses on the support and protection of victims of </w:t>
      </w:r>
      <w:r w:rsidR="0053413E">
        <w:t>antisocial</w:t>
      </w:r>
      <w:r w:rsidRPr="006B0D33">
        <w:t xml:space="preserve"> behaviour and has a positive impact on people with protected characteristics. For those suspected of causing </w:t>
      </w:r>
      <w:r w:rsidR="0053413E">
        <w:t>antisocial</w:t>
      </w:r>
      <w:r w:rsidRPr="006B0D33">
        <w:t xml:space="preserve"> behaviour, mental health is often a feature and the revised policy requires that officers identify support needs of perpetrators and work with them to engage with support organisations. </w:t>
      </w:r>
    </w:p>
    <w:p w:rsidR="003E0623" w:rsidRPr="00D21F63" w:rsidRDefault="003E0623" w:rsidP="00D21F63"/>
    <w:p w:rsidR="00112281" w:rsidRPr="00D21F63" w:rsidRDefault="00112281" w:rsidP="00D21F63">
      <w:pPr>
        <w:rPr>
          <w:b/>
        </w:rPr>
      </w:pPr>
      <w:r w:rsidRPr="00D21F63">
        <w:rPr>
          <w:b/>
        </w:rPr>
        <w:t xml:space="preserve">Service </w:t>
      </w:r>
      <w:r w:rsidR="003E0623" w:rsidRPr="00D21F63">
        <w:rPr>
          <w:b/>
        </w:rPr>
        <w:t>I</w:t>
      </w:r>
      <w:r w:rsidRPr="00D21F63">
        <w:rPr>
          <w:b/>
        </w:rPr>
        <w:t xml:space="preserve">ntegration </w:t>
      </w:r>
      <w:r w:rsidR="003E0623" w:rsidRPr="00D21F63">
        <w:rPr>
          <w:b/>
        </w:rPr>
        <w:t>P</w:t>
      </w:r>
      <w:r w:rsidRPr="00D21F63">
        <w:rPr>
          <w:b/>
        </w:rPr>
        <w:t>ro</w:t>
      </w:r>
      <w:r w:rsidR="001A60F5" w:rsidRPr="00D21F63">
        <w:rPr>
          <w:b/>
        </w:rPr>
        <w:t>ject</w:t>
      </w:r>
    </w:p>
    <w:p w:rsidR="00D21F63" w:rsidRPr="00D21F63" w:rsidRDefault="00D21F63" w:rsidP="00D21F63"/>
    <w:p w:rsidR="00112281" w:rsidRPr="006B0D33" w:rsidRDefault="00112281" w:rsidP="00D21F63">
      <w:pPr>
        <w:pStyle w:val="ListParagraph"/>
        <w:numPr>
          <w:ilvl w:val="0"/>
          <w:numId w:val="13"/>
        </w:numPr>
      </w:pPr>
      <w:r w:rsidRPr="006B0D33">
        <w:t xml:space="preserve">The </w:t>
      </w:r>
      <w:r w:rsidR="006A235A">
        <w:t>s</w:t>
      </w:r>
      <w:r w:rsidRPr="006B0D33">
        <w:t xml:space="preserve">ervice </w:t>
      </w:r>
      <w:r w:rsidR="00120942">
        <w:t>i</w:t>
      </w:r>
      <w:r w:rsidRPr="006B0D33">
        <w:t xml:space="preserve">ntegration </w:t>
      </w:r>
      <w:r w:rsidR="00120942">
        <w:t>p</w:t>
      </w:r>
      <w:r w:rsidRPr="006B0D33">
        <w:t>roject</w:t>
      </w:r>
      <w:r w:rsidR="001E185B" w:rsidRPr="006B0D33">
        <w:t xml:space="preserve"> </w:t>
      </w:r>
      <w:r w:rsidR="00344A27">
        <w:t>linking Housing, Communities</w:t>
      </w:r>
      <w:r w:rsidR="003E0623">
        <w:t xml:space="preserve"> and </w:t>
      </w:r>
      <w:r w:rsidR="00344A27">
        <w:t>C</w:t>
      </w:r>
      <w:r w:rsidR="003E0623">
        <w:t xml:space="preserve">ommunity </w:t>
      </w:r>
      <w:r w:rsidR="00344A27">
        <w:t>S</w:t>
      </w:r>
      <w:r w:rsidR="003E0623">
        <w:t xml:space="preserve">afety </w:t>
      </w:r>
      <w:r w:rsidR="001E185B" w:rsidRPr="006B0D33">
        <w:t>aims to further improve</w:t>
      </w:r>
      <w:r w:rsidR="00170805" w:rsidRPr="006B0D33">
        <w:t xml:space="preserve"> how we</w:t>
      </w:r>
      <w:r w:rsidRPr="006B0D33">
        <w:t xml:space="preserve"> bring our teams, our customers and our partners together to deliver joined up services to residents of Oxford, including our tenants. </w:t>
      </w:r>
    </w:p>
    <w:p w:rsidR="00112281" w:rsidRPr="006B0D33" w:rsidRDefault="00112281" w:rsidP="00D21F63"/>
    <w:p w:rsidR="00112281" w:rsidRPr="006B0D33" w:rsidRDefault="00112281" w:rsidP="00D21F63">
      <w:pPr>
        <w:pStyle w:val="ListParagraph"/>
        <w:numPr>
          <w:ilvl w:val="0"/>
          <w:numId w:val="13"/>
        </w:numPr>
      </w:pPr>
      <w:r w:rsidRPr="006B0D33">
        <w:t xml:space="preserve">The main objective is to create </w:t>
      </w:r>
      <w:r w:rsidR="00FA426F" w:rsidRPr="006B0D33">
        <w:t xml:space="preserve">locality </w:t>
      </w:r>
      <w:r w:rsidRPr="006B0D33">
        <w:t xml:space="preserve">teams made up of </w:t>
      </w:r>
      <w:r w:rsidR="00120942">
        <w:t>people</w:t>
      </w:r>
      <w:r w:rsidRPr="006B0D33">
        <w:t xml:space="preserve"> from relevant </w:t>
      </w:r>
      <w:r w:rsidR="00170805" w:rsidRPr="006B0D33">
        <w:t>s</w:t>
      </w:r>
      <w:r w:rsidRPr="006B0D33">
        <w:t>ervices</w:t>
      </w:r>
      <w:r w:rsidR="00120942">
        <w:t>,</w:t>
      </w:r>
      <w:r w:rsidRPr="006B0D33">
        <w:t xml:space="preserve"> who will work closely with our communities and partners to deliver cross-team solutions for customers in need.</w:t>
      </w:r>
    </w:p>
    <w:p w:rsidR="00112281" w:rsidRPr="006B0D33" w:rsidRDefault="00112281" w:rsidP="00D21F63"/>
    <w:p w:rsidR="00112281" w:rsidRPr="006B0D33" w:rsidRDefault="001A60F5" w:rsidP="00D21F63">
      <w:pPr>
        <w:pStyle w:val="ListParagraph"/>
        <w:numPr>
          <w:ilvl w:val="0"/>
          <w:numId w:val="13"/>
        </w:numPr>
      </w:pPr>
      <w:r w:rsidRPr="006B0D33">
        <w:t>Through two pilot areas</w:t>
      </w:r>
      <w:r w:rsidR="00FA426F" w:rsidRPr="006B0D33">
        <w:t xml:space="preserve"> at Barton and Blackbird Leys</w:t>
      </w:r>
      <w:r w:rsidRPr="006B0D33">
        <w:t>, staff have been testing a number of approaches to more collaborative work with:</w:t>
      </w:r>
    </w:p>
    <w:p w:rsidR="00112281" w:rsidRPr="006B0D33" w:rsidRDefault="00112281" w:rsidP="00112281"/>
    <w:p w:rsidR="00112281" w:rsidRPr="006B0D33" w:rsidRDefault="00120942" w:rsidP="0069390A">
      <w:pPr>
        <w:pStyle w:val="ListParagraph"/>
        <w:numPr>
          <w:ilvl w:val="0"/>
          <w:numId w:val="3"/>
        </w:numPr>
        <w:ind w:left="720"/>
      </w:pPr>
      <w:r>
        <w:t>m</w:t>
      </w:r>
      <w:r w:rsidR="00112281" w:rsidRPr="006B0D33">
        <w:t xml:space="preserve">ulti-team </w:t>
      </w:r>
      <w:r w:rsidR="0000537D" w:rsidRPr="006B0D33">
        <w:t>locality</w:t>
      </w:r>
      <w:r w:rsidR="0012385B" w:rsidRPr="006B0D33">
        <w:t xml:space="preserve"> </w:t>
      </w:r>
      <w:r w:rsidR="00112281" w:rsidRPr="006B0D33">
        <w:t>working and case management</w:t>
      </w:r>
    </w:p>
    <w:p w:rsidR="00112281" w:rsidRPr="006B0D33" w:rsidRDefault="00120942" w:rsidP="0069390A">
      <w:pPr>
        <w:pStyle w:val="ListParagraph"/>
        <w:numPr>
          <w:ilvl w:val="0"/>
          <w:numId w:val="3"/>
        </w:numPr>
        <w:ind w:left="720"/>
      </w:pPr>
      <w:r>
        <w:t>a</w:t>
      </w:r>
      <w:r w:rsidR="00112281" w:rsidRPr="006B0D33">
        <w:t xml:space="preserve"> more co-ordinated pathway for customers with a number of different needs</w:t>
      </w:r>
    </w:p>
    <w:p w:rsidR="00112281" w:rsidRPr="006B0D33" w:rsidRDefault="00120942" w:rsidP="0069390A">
      <w:pPr>
        <w:pStyle w:val="ListParagraph"/>
        <w:numPr>
          <w:ilvl w:val="0"/>
          <w:numId w:val="3"/>
        </w:numPr>
        <w:ind w:left="720"/>
      </w:pPr>
      <w:r>
        <w:t>w</w:t>
      </w:r>
      <w:r w:rsidR="00112281" w:rsidRPr="006B0D33">
        <w:t>orking more closely with partners to find community solutions</w:t>
      </w:r>
    </w:p>
    <w:p w:rsidR="00112281" w:rsidRPr="006B0D33" w:rsidRDefault="00120942" w:rsidP="0069390A">
      <w:pPr>
        <w:pStyle w:val="ListParagraph"/>
        <w:numPr>
          <w:ilvl w:val="0"/>
          <w:numId w:val="3"/>
        </w:numPr>
        <w:ind w:left="720"/>
      </w:pPr>
      <w:r>
        <w:t>t</w:t>
      </w:r>
      <w:r w:rsidR="00112281" w:rsidRPr="006B0D33">
        <w:t>raining and knowledge</w:t>
      </w:r>
      <w:r w:rsidR="006A235A">
        <w:t xml:space="preserve"> </w:t>
      </w:r>
      <w:r w:rsidR="00112281" w:rsidRPr="006B0D33">
        <w:t xml:space="preserve">sharing </w:t>
      </w:r>
      <w:r>
        <w:t>within multi-disciplinary teams</w:t>
      </w:r>
    </w:p>
    <w:p w:rsidR="00FA426F" w:rsidRPr="006B0D33" w:rsidRDefault="00FA426F" w:rsidP="0069390A">
      <w:pPr>
        <w:ind w:left="360"/>
        <w:rPr>
          <w:b/>
          <w:bCs/>
        </w:rPr>
      </w:pPr>
    </w:p>
    <w:p w:rsidR="00E9659B" w:rsidRDefault="0014030F" w:rsidP="1415B050">
      <w:pPr>
        <w:rPr>
          <w:b/>
          <w:bCs/>
        </w:rPr>
      </w:pPr>
      <w:r w:rsidRPr="006B0D33">
        <w:rPr>
          <w:b/>
          <w:bCs/>
        </w:rPr>
        <w:t xml:space="preserve">Customer </w:t>
      </w:r>
      <w:r w:rsidR="00120942">
        <w:rPr>
          <w:b/>
          <w:bCs/>
        </w:rPr>
        <w:t>e</w:t>
      </w:r>
      <w:r w:rsidR="00112281" w:rsidRPr="006B0D33">
        <w:rPr>
          <w:b/>
          <w:bCs/>
        </w:rPr>
        <w:t xml:space="preserve">xperience </w:t>
      </w:r>
      <w:r w:rsidR="00120942">
        <w:rPr>
          <w:b/>
          <w:bCs/>
        </w:rPr>
        <w:t>c</w:t>
      </w:r>
      <w:r w:rsidR="00112281" w:rsidRPr="006B0D33">
        <w:rPr>
          <w:b/>
          <w:bCs/>
        </w:rPr>
        <w:t xml:space="preserve">hange </w:t>
      </w:r>
      <w:r w:rsidR="00120942">
        <w:rPr>
          <w:b/>
          <w:bCs/>
        </w:rPr>
        <w:t>p</w:t>
      </w:r>
      <w:r w:rsidR="00112281" w:rsidRPr="006B0D33">
        <w:rPr>
          <w:b/>
          <w:bCs/>
        </w:rPr>
        <w:t>rogramme</w:t>
      </w:r>
    </w:p>
    <w:p w:rsidR="00D21F63" w:rsidRPr="006B0D33" w:rsidRDefault="00D21F63" w:rsidP="1415B050">
      <w:pPr>
        <w:rPr>
          <w:b/>
          <w:bCs/>
        </w:rPr>
      </w:pPr>
    </w:p>
    <w:p w:rsidR="00120942" w:rsidRDefault="00170805" w:rsidP="00D21F63">
      <w:pPr>
        <w:pStyle w:val="ListParagraph"/>
        <w:numPr>
          <w:ilvl w:val="0"/>
          <w:numId w:val="13"/>
        </w:numPr>
      </w:pPr>
      <w:r w:rsidRPr="006B0D33">
        <w:t xml:space="preserve">The </w:t>
      </w:r>
      <w:r w:rsidR="003E0623">
        <w:t>C</w:t>
      </w:r>
      <w:r w:rsidR="00FE15DA" w:rsidRPr="006B0D33">
        <w:t>ouncil</w:t>
      </w:r>
      <w:r w:rsidR="00020F70" w:rsidRPr="006B0D33">
        <w:t>’s</w:t>
      </w:r>
      <w:r w:rsidRPr="006B0D33">
        <w:t xml:space="preserve"> corporate change programme is centred on how we deliver more streamlined and effective services to customers overall. This will include improved use of technology and efficient self</w:t>
      </w:r>
      <w:r w:rsidR="00D4010C" w:rsidRPr="006B0D33">
        <w:t>-</w:t>
      </w:r>
      <w:r w:rsidRPr="006B0D33">
        <w:t>serve</w:t>
      </w:r>
      <w:r w:rsidR="006A235A">
        <w:t>,</w:t>
      </w:r>
      <w:r w:rsidRPr="006B0D33">
        <w:t xml:space="preserve"> releasing specialist resources for more preventative work and support for those customers in greatest need at a local level. </w:t>
      </w:r>
    </w:p>
    <w:p w:rsidR="00120942" w:rsidRDefault="00120942" w:rsidP="00D21F63"/>
    <w:p w:rsidR="00120942" w:rsidRDefault="00170805" w:rsidP="00D21F63">
      <w:pPr>
        <w:pStyle w:val="ListParagraph"/>
        <w:numPr>
          <w:ilvl w:val="0"/>
          <w:numId w:val="13"/>
        </w:numPr>
      </w:pPr>
      <w:r w:rsidRPr="006B0D33">
        <w:t>The new QL IT system presents a significant opportunity for greater efficiency</w:t>
      </w:r>
      <w:r w:rsidR="00591BDB" w:rsidRPr="006B0D33">
        <w:t xml:space="preserve"> </w:t>
      </w:r>
      <w:r w:rsidRPr="006B0D33">
        <w:t>and enhanced customer service</w:t>
      </w:r>
      <w:r w:rsidR="0012385B" w:rsidRPr="006B0D33">
        <w:t>.</w:t>
      </w:r>
    </w:p>
    <w:p w:rsidR="00C16714" w:rsidRPr="006B0D33" w:rsidRDefault="0012385B" w:rsidP="00D21F63">
      <w:r w:rsidRPr="006B0D33">
        <w:t xml:space="preserve"> </w:t>
      </w:r>
    </w:p>
    <w:p w:rsidR="00C16714" w:rsidRPr="006B0D33" w:rsidRDefault="00C16714" w:rsidP="00D21F63">
      <w:pPr>
        <w:pStyle w:val="ListParagraph"/>
        <w:numPr>
          <w:ilvl w:val="0"/>
          <w:numId w:val="13"/>
        </w:numPr>
      </w:pPr>
      <w:r w:rsidRPr="006B0D33">
        <w:t xml:space="preserve">A range of teams across the </w:t>
      </w:r>
      <w:r w:rsidR="003E0623">
        <w:t>C</w:t>
      </w:r>
      <w:r w:rsidR="00FE15DA" w:rsidRPr="006B0D33">
        <w:t>ouncil</w:t>
      </w:r>
      <w:r w:rsidRPr="006B0D33">
        <w:t xml:space="preserve"> have interactions with our tenants and leaseholders, with ODS, the </w:t>
      </w:r>
      <w:r w:rsidR="00120942">
        <w:t>c</w:t>
      </w:r>
      <w:r w:rsidRPr="006B0D33">
        <w:t xml:space="preserve">ontact </w:t>
      </w:r>
      <w:r w:rsidR="00120942">
        <w:t>c</w:t>
      </w:r>
      <w:r w:rsidRPr="006B0D33">
        <w:t xml:space="preserve">entre and the Incomes Team (rents) having the </w:t>
      </w:r>
      <w:r w:rsidR="00120942">
        <w:t>most</w:t>
      </w:r>
      <w:r w:rsidRPr="006B0D33">
        <w:t xml:space="preserve"> contact. Planned improvements to our customer journey will have maximum impact on satisfaction levels. </w:t>
      </w:r>
    </w:p>
    <w:p w:rsidR="00C16714" w:rsidRPr="006B0D33" w:rsidRDefault="00C16714" w:rsidP="00C16714"/>
    <w:p w:rsidR="007514D3" w:rsidRDefault="007514D3">
      <w:pPr>
        <w:rPr>
          <w:b/>
        </w:rPr>
      </w:pPr>
      <w:r w:rsidRPr="006B0D33">
        <w:rPr>
          <w:b/>
        </w:rPr>
        <w:t xml:space="preserve">Service </w:t>
      </w:r>
      <w:r w:rsidR="00120942">
        <w:rPr>
          <w:b/>
        </w:rPr>
        <w:t>d</w:t>
      </w:r>
      <w:r w:rsidRPr="006B0D33">
        <w:rPr>
          <w:b/>
        </w:rPr>
        <w:t xml:space="preserve">elivery </w:t>
      </w:r>
      <w:r w:rsidR="00120942">
        <w:rPr>
          <w:b/>
        </w:rPr>
        <w:t>r</w:t>
      </w:r>
      <w:r w:rsidRPr="006B0D33">
        <w:rPr>
          <w:b/>
        </w:rPr>
        <w:t>eview</w:t>
      </w:r>
    </w:p>
    <w:p w:rsidR="00D21F63" w:rsidRPr="006B0D33" w:rsidRDefault="00D21F63">
      <w:pPr>
        <w:rPr>
          <w:b/>
        </w:rPr>
      </w:pPr>
    </w:p>
    <w:p w:rsidR="00120942" w:rsidRDefault="007514D3" w:rsidP="00D21F63">
      <w:pPr>
        <w:pStyle w:val="ListParagraph"/>
        <w:numPr>
          <w:ilvl w:val="0"/>
          <w:numId w:val="13"/>
        </w:numPr>
      </w:pPr>
      <w:r w:rsidRPr="006B0D33">
        <w:t>Although not featuring heavily in the STAR survey, frontline housing management services have been under pressure for a significant period</w:t>
      </w:r>
      <w:r w:rsidR="00BE13A1" w:rsidRPr="006B0D33">
        <w:t>, including Tenancy Management, Tenancy Sustainment and Allocations</w:t>
      </w:r>
      <w:r w:rsidR="00120942">
        <w:t>. This</w:t>
      </w:r>
      <w:r w:rsidR="00BE13A1" w:rsidRPr="006B0D33">
        <w:t xml:space="preserve"> has impacted on case work resources</w:t>
      </w:r>
      <w:r w:rsidRPr="006B0D33">
        <w:t>.</w:t>
      </w:r>
      <w:r w:rsidR="00C16714" w:rsidRPr="006B0D33">
        <w:t xml:space="preserve"> Additional resources are planned for this area of activity. </w:t>
      </w:r>
    </w:p>
    <w:p w:rsidR="00120942" w:rsidRDefault="00120942" w:rsidP="00D21F63"/>
    <w:p w:rsidR="00120942" w:rsidRDefault="00C16714" w:rsidP="00D21F63">
      <w:pPr>
        <w:pStyle w:val="ListParagraph"/>
        <w:numPr>
          <w:ilvl w:val="0"/>
          <w:numId w:val="13"/>
        </w:numPr>
      </w:pPr>
      <w:r w:rsidRPr="006B0D33">
        <w:t>Our services to tenants and leaseholders</w:t>
      </w:r>
      <w:r w:rsidR="007514D3" w:rsidRPr="006B0D33">
        <w:t xml:space="preserve"> </w:t>
      </w:r>
      <w:r w:rsidRPr="006B0D33">
        <w:t xml:space="preserve">are provided by a range of teams across the </w:t>
      </w:r>
      <w:r w:rsidR="00501941">
        <w:t>c</w:t>
      </w:r>
      <w:r w:rsidR="00FE15DA" w:rsidRPr="006B0D33">
        <w:t>ouncil</w:t>
      </w:r>
      <w:r w:rsidR="008314E9" w:rsidRPr="006B0D33">
        <w:t xml:space="preserve"> </w:t>
      </w:r>
      <w:r w:rsidR="00120942">
        <w:t>and</w:t>
      </w:r>
      <w:r w:rsidR="008314E9" w:rsidRPr="006B0D33">
        <w:t xml:space="preserve"> providing a seamless service presents a challenge. The new </w:t>
      </w:r>
      <w:r w:rsidR="00FE15DA" w:rsidRPr="006B0D33">
        <w:t>council</w:t>
      </w:r>
      <w:r w:rsidR="008314E9" w:rsidRPr="006B0D33">
        <w:t xml:space="preserve"> structure and the </w:t>
      </w:r>
      <w:r w:rsidR="00120942">
        <w:t>s</w:t>
      </w:r>
      <w:r w:rsidR="008314E9" w:rsidRPr="006B0D33">
        <w:t xml:space="preserve">ervice </w:t>
      </w:r>
      <w:r w:rsidR="00120942">
        <w:t>i</w:t>
      </w:r>
      <w:r w:rsidR="008314E9" w:rsidRPr="006B0D33">
        <w:t xml:space="preserve">ntegration </w:t>
      </w:r>
      <w:r w:rsidR="00120942">
        <w:t>p</w:t>
      </w:r>
      <w:r w:rsidR="008314E9" w:rsidRPr="006B0D33">
        <w:t xml:space="preserve">roject presents an opportunity to deliver improvement to meet this challenge. </w:t>
      </w:r>
    </w:p>
    <w:p w:rsidR="00120942" w:rsidRDefault="00120942" w:rsidP="00D21F63"/>
    <w:p w:rsidR="007514D3" w:rsidRPr="006B0D33" w:rsidRDefault="007514D3" w:rsidP="00D21F63">
      <w:pPr>
        <w:pStyle w:val="ListParagraph"/>
        <w:numPr>
          <w:ilvl w:val="0"/>
          <w:numId w:val="13"/>
        </w:numPr>
      </w:pPr>
      <w:r w:rsidRPr="006B0D33">
        <w:t xml:space="preserve">An external review of how the </w:t>
      </w:r>
      <w:r w:rsidR="00501941">
        <w:t>c</w:t>
      </w:r>
      <w:r w:rsidR="00FE15DA" w:rsidRPr="006B0D33">
        <w:t>ouncil</w:t>
      </w:r>
      <w:r w:rsidRPr="006B0D33">
        <w:t xml:space="preserve"> delivers its services to tenants as a landlord has been commissioned </w:t>
      </w:r>
      <w:r w:rsidR="008314E9" w:rsidRPr="006B0D33">
        <w:t>to inform our thinking.</w:t>
      </w:r>
      <w:r w:rsidR="00BE13A1" w:rsidRPr="006B0D33">
        <w:t xml:space="preserve"> </w:t>
      </w:r>
      <w:r w:rsidRPr="006B0D33">
        <w:t xml:space="preserve"> </w:t>
      </w:r>
    </w:p>
    <w:p w:rsidR="0070689D" w:rsidRDefault="0070689D"/>
    <w:p w:rsidR="0053413E" w:rsidRDefault="0053413E" w:rsidP="0053413E">
      <w:pPr>
        <w:rPr>
          <w:b/>
        </w:rPr>
      </w:pPr>
      <w:r w:rsidRPr="006B0D33">
        <w:rPr>
          <w:b/>
        </w:rPr>
        <w:t>Survey results publication</w:t>
      </w:r>
    </w:p>
    <w:p w:rsidR="00D21F63" w:rsidRPr="006B0D33" w:rsidRDefault="00D21F63" w:rsidP="0053413E">
      <w:pPr>
        <w:rPr>
          <w:b/>
        </w:rPr>
      </w:pPr>
    </w:p>
    <w:p w:rsidR="0053413E" w:rsidRPr="006B0D33" w:rsidRDefault="0053413E" w:rsidP="00770F51">
      <w:pPr>
        <w:pStyle w:val="ListParagraph"/>
        <w:numPr>
          <w:ilvl w:val="0"/>
          <w:numId w:val="13"/>
        </w:numPr>
      </w:pPr>
      <w:r w:rsidRPr="006B0D33">
        <w:t>The full report will be published on the council’s website in December 2021</w:t>
      </w:r>
      <w:r w:rsidR="006A235A">
        <w:t>,</w:t>
      </w:r>
      <w:r w:rsidRPr="006B0D33">
        <w:t xml:space="preserve"> in parallel with this summary report being considered by Housing </w:t>
      </w:r>
      <w:r>
        <w:t>P</w:t>
      </w:r>
      <w:r w:rsidRPr="006B0D33">
        <w:t>anel on 16 December 2021.</w:t>
      </w:r>
    </w:p>
    <w:p w:rsidR="0053413E" w:rsidRPr="006B0D33" w:rsidRDefault="0053413E"/>
    <w:p w:rsidR="00613C41" w:rsidRDefault="00613C41" w:rsidP="00E9659B">
      <w:pPr>
        <w:rPr>
          <w:b/>
        </w:rPr>
      </w:pPr>
      <w:r w:rsidRPr="006B0D33">
        <w:rPr>
          <w:b/>
        </w:rPr>
        <w:t>Conclusion</w:t>
      </w:r>
    </w:p>
    <w:p w:rsidR="00D21F63" w:rsidRPr="006B0D33" w:rsidRDefault="00D21F63" w:rsidP="00E9659B">
      <w:pPr>
        <w:rPr>
          <w:b/>
        </w:rPr>
      </w:pPr>
    </w:p>
    <w:p w:rsidR="00FD31EC" w:rsidRDefault="006A235A" w:rsidP="00770F51">
      <w:pPr>
        <w:pStyle w:val="ListParagraph"/>
        <w:numPr>
          <w:ilvl w:val="0"/>
          <w:numId w:val="13"/>
        </w:numPr>
      </w:pPr>
      <w:r>
        <w:t xml:space="preserve">Overall, </w:t>
      </w:r>
      <w:r w:rsidR="00344A27">
        <w:t xml:space="preserve">most </w:t>
      </w:r>
      <w:r>
        <w:t xml:space="preserve">tenants and leaseholders are satisfied or very satisfied with the customer service they receive. More than four fifths (81%) of tenants perceive the rent they pay to be good value for money, and </w:t>
      </w:r>
      <w:r w:rsidR="00FD31EC">
        <w:t>this supports the case for social housing contained in the OCHL development programme and other affordable housing schemes.</w:t>
      </w:r>
    </w:p>
    <w:p w:rsidR="00FD31EC" w:rsidRDefault="00FD31EC" w:rsidP="00770F51"/>
    <w:p w:rsidR="00973143" w:rsidRDefault="00613C41" w:rsidP="00770F51">
      <w:pPr>
        <w:pStyle w:val="ListParagraph"/>
        <w:numPr>
          <w:ilvl w:val="0"/>
          <w:numId w:val="13"/>
        </w:numPr>
      </w:pPr>
      <w:r w:rsidRPr="006B0D33">
        <w:t>Whil</w:t>
      </w:r>
      <w:r w:rsidR="00501941">
        <w:t>e</w:t>
      </w:r>
      <w:r w:rsidR="00B47C53" w:rsidRPr="006B0D33">
        <w:t xml:space="preserve"> the </w:t>
      </w:r>
      <w:r w:rsidR="00FD31EC">
        <w:t xml:space="preserve">impact of the COVID-19 pandemic and </w:t>
      </w:r>
      <w:r w:rsidR="00A47EE1">
        <w:t xml:space="preserve">a backdrop of increased dissatisfaction with council services </w:t>
      </w:r>
      <w:r w:rsidR="00973143">
        <w:t xml:space="preserve">nationwide </w:t>
      </w:r>
      <w:r w:rsidR="00A47EE1">
        <w:t xml:space="preserve">cloud the picture somewhat, the survey results provide a </w:t>
      </w:r>
      <w:r w:rsidR="00973143">
        <w:t>sound evidence base and a starting point</w:t>
      </w:r>
      <w:r w:rsidR="00A47EE1">
        <w:t xml:space="preserve"> for improvement </w:t>
      </w:r>
      <w:r w:rsidR="00973143">
        <w:t>in a post-lockdown world.</w:t>
      </w:r>
    </w:p>
    <w:p w:rsidR="00973143" w:rsidRDefault="00973143" w:rsidP="00770F51"/>
    <w:p w:rsidR="0069390A" w:rsidRDefault="00344A27" w:rsidP="00770F51">
      <w:pPr>
        <w:pStyle w:val="ListParagraph"/>
        <w:numPr>
          <w:ilvl w:val="0"/>
          <w:numId w:val="13"/>
        </w:numPr>
      </w:pPr>
      <w:r>
        <w:t xml:space="preserve">Nevertheless there are a number of clear areas for improvement. </w:t>
      </w:r>
      <w:r w:rsidR="00973143">
        <w:t xml:space="preserve">Taking a whole council approach, Landlord Services is working with ODS and relevant service teams to identify and deliver the necessary improvement plans. </w:t>
      </w:r>
    </w:p>
    <w:p w:rsidR="0069390A" w:rsidRDefault="0069390A" w:rsidP="00770F51"/>
    <w:p w:rsidR="00973143" w:rsidRDefault="00973143" w:rsidP="00770F51">
      <w:pPr>
        <w:pStyle w:val="ListParagraph"/>
        <w:numPr>
          <w:ilvl w:val="0"/>
          <w:numId w:val="13"/>
        </w:numPr>
      </w:pPr>
      <w:r>
        <w:t>Crucially, these will be underpinned</w:t>
      </w:r>
      <w:r w:rsidR="0069390A">
        <w:t xml:space="preserve"> by the </w:t>
      </w:r>
      <w:r w:rsidRPr="00973143">
        <w:t xml:space="preserve">£51m of planned maintenance, refurbishments and estate improvements </w:t>
      </w:r>
      <w:r w:rsidR="0069390A">
        <w:t xml:space="preserve">and a further £8.7m in improving energy efficiency in </w:t>
      </w:r>
      <w:r w:rsidRPr="00973143">
        <w:t xml:space="preserve">existing </w:t>
      </w:r>
      <w:r w:rsidR="0069390A">
        <w:t xml:space="preserve">council homes </w:t>
      </w:r>
      <w:r w:rsidRPr="00973143">
        <w:t>over the next four years</w:t>
      </w:r>
      <w:r w:rsidR="0069390A">
        <w:t xml:space="preserve">, together with the </w:t>
      </w:r>
      <w:r w:rsidR="00A04BEF">
        <w:t xml:space="preserve">ongoing </w:t>
      </w:r>
      <w:r w:rsidR="0069390A">
        <w:t>delivery of a new generation of high quality, design-led and low carbon council homes by OCHL.</w:t>
      </w:r>
    </w:p>
    <w:p w:rsidR="00973143" w:rsidRDefault="00973143" w:rsidP="00E9659B"/>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2"/>
        <w:gridCol w:w="4946"/>
      </w:tblGrid>
      <w:tr w:rsidR="006D0287" w:rsidRPr="008E4D66" w:rsidTr="006005A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6D0287" w:rsidRPr="008E4D66" w:rsidRDefault="006D0287" w:rsidP="006005AB">
            <w:pPr>
              <w:rPr>
                <w:b/>
              </w:rPr>
            </w:pPr>
            <w:r w:rsidRPr="008E4D66">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6D0287" w:rsidRPr="008E4D66" w:rsidRDefault="006D0287" w:rsidP="006005AB">
            <w:r>
              <w:t>Stephen Clarke</w:t>
            </w:r>
          </w:p>
        </w:tc>
      </w:tr>
      <w:tr w:rsidR="006D0287" w:rsidRPr="008E4D66" w:rsidTr="006005AB">
        <w:trPr>
          <w:cantSplit/>
          <w:trHeight w:val="396"/>
        </w:trPr>
        <w:tc>
          <w:tcPr>
            <w:tcW w:w="3969" w:type="dxa"/>
            <w:tcBorders>
              <w:top w:val="single" w:sz="8" w:space="0" w:color="000000"/>
              <w:left w:val="single" w:sz="8" w:space="0" w:color="000000"/>
              <w:bottom w:val="nil"/>
              <w:right w:val="nil"/>
            </w:tcBorders>
            <w:shd w:val="clear" w:color="auto" w:fill="auto"/>
          </w:tcPr>
          <w:p w:rsidR="006D0287" w:rsidRPr="008E4D66" w:rsidRDefault="006D0287" w:rsidP="006005AB">
            <w:r w:rsidRPr="008E4D66">
              <w:t>Job title</w:t>
            </w:r>
          </w:p>
        </w:tc>
        <w:tc>
          <w:tcPr>
            <w:tcW w:w="4962" w:type="dxa"/>
            <w:tcBorders>
              <w:top w:val="single" w:sz="8" w:space="0" w:color="000000"/>
              <w:left w:val="nil"/>
              <w:bottom w:val="nil"/>
              <w:right w:val="single" w:sz="8" w:space="0" w:color="000000"/>
            </w:tcBorders>
            <w:shd w:val="clear" w:color="auto" w:fill="auto"/>
          </w:tcPr>
          <w:p w:rsidR="006D0287" w:rsidRPr="008E4D66" w:rsidRDefault="006D0287" w:rsidP="006005AB">
            <w:r>
              <w:t>Head of Housing Services</w:t>
            </w:r>
          </w:p>
        </w:tc>
      </w:tr>
      <w:tr w:rsidR="006D0287" w:rsidRPr="008E4D66" w:rsidTr="006005AB">
        <w:trPr>
          <w:cantSplit/>
          <w:trHeight w:val="396"/>
        </w:trPr>
        <w:tc>
          <w:tcPr>
            <w:tcW w:w="3969" w:type="dxa"/>
            <w:tcBorders>
              <w:top w:val="nil"/>
              <w:left w:val="single" w:sz="8" w:space="0" w:color="000000"/>
              <w:bottom w:val="nil"/>
              <w:right w:val="nil"/>
            </w:tcBorders>
            <w:shd w:val="clear" w:color="auto" w:fill="auto"/>
          </w:tcPr>
          <w:p w:rsidR="006D0287" w:rsidRPr="008E4D66" w:rsidRDefault="006D0287" w:rsidP="006005AB">
            <w:r w:rsidRPr="008E4D66">
              <w:t>Service area or department</w:t>
            </w:r>
          </w:p>
        </w:tc>
        <w:tc>
          <w:tcPr>
            <w:tcW w:w="4962" w:type="dxa"/>
            <w:tcBorders>
              <w:top w:val="nil"/>
              <w:left w:val="nil"/>
              <w:bottom w:val="nil"/>
              <w:right w:val="single" w:sz="8" w:space="0" w:color="000000"/>
            </w:tcBorders>
            <w:shd w:val="clear" w:color="auto" w:fill="auto"/>
          </w:tcPr>
          <w:p w:rsidR="006D0287" w:rsidRPr="008E4D66" w:rsidRDefault="006D0287" w:rsidP="006005AB">
            <w:r>
              <w:t>Housing Services</w:t>
            </w:r>
          </w:p>
        </w:tc>
      </w:tr>
      <w:tr w:rsidR="006D0287" w:rsidRPr="008E4D66" w:rsidTr="006005AB">
        <w:trPr>
          <w:cantSplit/>
          <w:trHeight w:val="396"/>
        </w:trPr>
        <w:tc>
          <w:tcPr>
            <w:tcW w:w="3969" w:type="dxa"/>
            <w:tcBorders>
              <w:top w:val="nil"/>
              <w:left w:val="single" w:sz="8" w:space="0" w:color="000000"/>
              <w:bottom w:val="nil"/>
              <w:right w:val="nil"/>
            </w:tcBorders>
            <w:shd w:val="clear" w:color="auto" w:fill="auto"/>
          </w:tcPr>
          <w:p w:rsidR="006D0287" w:rsidRPr="008E4D66" w:rsidRDefault="006D0287" w:rsidP="006005AB">
            <w:r w:rsidRPr="008E4D66">
              <w:t xml:space="preserve">Telephone </w:t>
            </w:r>
          </w:p>
        </w:tc>
        <w:tc>
          <w:tcPr>
            <w:tcW w:w="4962" w:type="dxa"/>
            <w:tcBorders>
              <w:top w:val="nil"/>
              <w:left w:val="nil"/>
              <w:bottom w:val="nil"/>
              <w:right w:val="single" w:sz="8" w:space="0" w:color="000000"/>
            </w:tcBorders>
            <w:shd w:val="clear" w:color="auto" w:fill="auto"/>
          </w:tcPr>
          <w:p w:rsidR="006D0287" w:rsidRPr="008E4D66" w:rsidRDefault="006D0287" w:rsidP="006D0287">
            <w:r w:rsidRPr="008E4D66">
              <w:t>01865 25</w:t>
            </w:r>
            <w:r>
              <w:t>2</w:t>
            </w:r>
            <w:r>
              <w:t>428</w:t>
            </w:r>
            <w:r w:rsidRPr="008E4D66">
              <w:t xml:space="preserve"> </w:t>
            </w:r>
          </w:p>
        </w:tc>
      </w:tr>
      <w:tr w:rsidR="006D0287" w:rsidRPr="008E4D66" w:rsidTr="006005AB">
        <w:trPr>
          <w:cantSplit/>
          <w:trHeight w:val="396"/>
        </w:trPr>
        <w:tc>
          <w:tcPr>
            <w:tcW w:w="3969" w:type="dxa"/>
            <w:tcBorders>
              <w:top w:val="nil"/>
              <w:left w:val="single" w:sz="8" w:space="0" w:color="000000"/>
              <w:bottom w:val="single" w:sz="8" w:space="0" w:color="000000"/>
              <w:right w:val="nil"/>
            </w:tcBorders>
            <w:shd w:val="clear" w:color="auto" w:fill="auto"/>
          </w:tcPr>
          <w:p w:rsidR="006D0287" w:rsidRPr="008E4D66" w:rsidRDefault="006D0287" w:rsidP="006005AB">
            <w:r w:rsidRPr="008E4D66">
              <w:t xml:space="preserve">e-mail </w:t>
            </w:r>
          </w:p>
        </w:tc>
        <w:tc>
          <w:tcPr>
            <w:tcW w:w="4962" w:type="dxa"/>
            <w:tcBorders>
              <w:top w:val="nil"/>
              <w:left w:val="nil"/>
              <w:bottom w:val="single" w:sz="8" w:space="0" w:color="000000"/>
              <w:right w:val="single" w:sz="8" w:space="0" w:color="000000"/>
            </w:tcBorders>
            <w:shd w:val="clear" w:color="auto" w:fill="auto"/>
          </w:tcPr>
          <w:p w:rsidR="006D0287" w:rsidRPr="008E4D66" w:rsidRDefault="006D0287" w:rsidP="006005AB">
            <w:pPr>
              <w:rPr>
                <w:rStyle w:val="Hyperlink"/>
              </w:rPr>
            </w:pPr>
            <w:r>
              <w:rPr>
                <w:rStyle w:val="Hyperlink"/>
              </w:rPr>
              <w:t>sclarke</w:t>
            </w:r>
            <w:r w:rsidRPr="008E4D66">
              <w:rPr>
                <w:rStyle w:val="Hyperlink"/>
              </w:rPr>
              <w:t>@oxford.gov.uk</w:t>
            </w:r>
          </w:p>
        </w:tc>
      </w:tr>
    </w:tbl>
    <w:p w:rsidR="0053413E" w:rsidRDefault="0053413E">
      <w:r>
        <w:br w:type="page"/>
      </w:r>
    </w:p>
    <w:p w:rsidR="0053413E" w:rsidRPr="006B0D33" w:rsidRDefault="0053413E" w:rsidP="0053413E">
      <w:pPr>
        <w:rPr>
          <w:b/>
        </w:rPr>
      </w:pPr>
      <w:r w:rsidRPr="006B0D33">
        <w:rPr>
          <w:b/>
        </w:rPr>
        <w:t>A</w:t>
      </w:r>
      <w:r>
        <w:rPr>
          <w:b/>
        </w:rPr>
        <w:t xml:space="preserve">ppendix A </w:t>
      </w:r>
      <w:r w:rsidR="00EC3BB5">
        <w:rPr>
          <w:b/>
        </w:rPr>
        <w:t>–</w:t>
      </w:r>
      <w:r>
        <w:rPr>
          <w:b/>
        </w:rPr>
        <w:t xml:space="preserve"> A</w:t>
      </w:r>
      <w:r w:rsidRPr="006B0D33">
        <w:rPr>
          <w:b/>
        </w:rPr>
        <w:t>bout STAR</w:t>
      </w:r>
    </w:p>
    <w:p w:rsidR="0053413E" w:rsidRPr="006B0D33" w:rsidRDefault="0053413E" w:rsidP="0053413E">
      <w:pPr>
        <w:rPr>
          <w:b/>
        </w:rPr>
      </w:pPr>
    </w:p>
    <w:p w:rsidR="0053413E" w:rsidRPr="006B0D33" w:rsidRDefault="0053413E" w:rsidP="0053413E">
      <w:r w:rsidRPr="006B0D33">
        <w:t xml:space="preserve">The STAR acronym stands for Survey of Tenants and Residents, and it is a framework designed for social landlords to collect tenant and resident satisfaction feedback in a consistent, measurable way. Introduced in 2011, STAR surveys were developed by Housemark, the housing benchmarking organisation, in conjunction with a number of industry bodies and tenant groups. </w:t>
      </w:r>
    </w:p>
    <w:p w:rsidR="0053413E" w:rsidRPr="006B0D33" w:rsidRDefault="0053413E" w:rsidP="0053413E">
      <w:r w:rsidRPr="006B0D33">
        <w:t xml:space="preserve">  </w:t>
      </w:r>
    </w:p>
    <w:p w:rsidR="0053413E" w:rsidRPr="006B0D33" w:rsidRDefault="0053413E" w:rsidP="0053413E">
      <w:r w:rsidRPr="006B0D33">
        <w:t>Although generally carried out every three years by landlords, Oxford City Council carried out STAR surveys each year from 2012 to 2015, at which point, with dwindling response levels reducing to 17% it was decided to extend the period between surveys</w:t>
      </w:r>
      <w:r w:rsidR="00EC3BB5">
        <w:t>.</w:t>
      </w:r>
      <w:r w:rsidRPr="006B0D33">
        <w:t xml:space="preserve"> </w:t>
      </w:r>
    </w:p>
    <w:p w:rsidR="0053413E" w:rsidRPr="006B0D33" w:rsidRDefault="0053413E" w:rsidP="0053413E"/>
    <w:p w:rsidR="0053413E" w:rsidRPr="006B0D33" w:rsidRDefault="0053413E" w:rsidP="0053413E">
      <w:r w:rsidRPr="006B0D33">
        <w:t>It was planned to restart the survey in 2018. However, Housemark announced that it was overhauling the STAR survey methodology and question base to include transactional as well as perception based questions and to include a greater focus on safety, the home and the estate. This is in line with the themes introduced in the social housing Green Paper – A New Deal for Social Housing.</w:t>
      </w:r>
    </w:p>
    <w:p w:rsidR="0053413E" w:rsidRPr="006B0D33" w:rsidRDefault="0053413E" w:rsidP="0053413E"/>
    <w:p w:rsidR="0053413E" w:rsidRPr="006B0D33" w:rsidRDefault="0053413E" w:rsidP="0053413E">
      <w:r w:rsidRPr="006B0D33">
        <w:t>As a result, the council decided to wait until the revised measures were published rather than spending money on a survey which would have limited use in terms of comparability. Housemark’s revised measures were finally published in February 2020. It was then not considered appropriate to carry out the survey in 2020 given the overriding need to respond to the COVID-19 emergency.</w:t>
      </w:r>
    </w:p>
    <w:p w:rsidR="0053413E" w:rsidRPr="006B0D33" w:rsidRDefault="0053413E" w:rsidP="0053413E"/>
    <w:p w:rsidR="0053413E" w:rsidRPr="006B0D33" w:rsidRDefault="0053413E" w:rsidP="0053413E">
      <w:r w:rsidRPr="006B0D33">
        <w:t xml:space="preserve">The decision to proceed with the survey in 2021 was made in recognition that the social housing White Paper, published in November 2020, set out a series of landlord performance and satisfaction indicators that were to be consulted on and that landlords would be expected to measure and publish. </w:t>
      </w:r>
    </w:p>
    <w:p w:rsidR="00613C41" w:rsidRDefault="00613C41" w:rsidP="00E9659B"/>
    <w:p w:rsidR="006A235A" w:rsidRPr="006B0D33" w:rsidRDefault="006A235A" w:rsidP="006A235A">
      <w:pPr>
        <w:rPr>
          <w:b/>
        </w:rPr>
      </w:pPr>
      <w:r w:rsidRPr="006B0D33">
        <w:rPr>
          <w:b/>
        </w:rPr>
        <w:t>Benchmarking</w:t>
      </w:r>
    </w:p>
    <w:p w:rsidR="006A235A" w:rsidRPr="006B0D33" w:rsidRDefault="006A235A" w:rsidP="006A235A">
      <w:r w:rsidRPr="006B0D33">
        <w:t>STAR survey results would ordinarily be initially compared with the sector as a whole and then peer groups of stock holding local authorities with similar numbers of properties and challenges. As few, if any</w:t>
      </w:r>
      <w:r w:rsidR="00FD31EC">
        <w:t>,</w:t>
      </w:r>
      <w:r w:rsidRPr="006B0D33">
        <w:t xml:space="preserve"> landlords would have carried out a STAR survey in 2020, the only data comparisons that could be made would be against surveys carried out before the COVID</w:t>
      </w:r>
      <w:r>
        <w:t>-19</w:t>
      </w:r>
      <w:r w:rsidRPr="006B0D33">
        <w:t xml:space="preserve"> pandemic</w:t>
      </w:r>
      <w:r>
        <w:t>. This</w:t>
      </w:r>
      <w:r w:rsidRPr="006B0D33">
        <w:t xml:space="preserve"> would not provide a meaningful comparison. </w:t>
      </w:r>
      <w:r w:rsidR="00FD31EC">
        <w:t>M</w:t>
      </w:r>
      <w:r w:rsidRPr="006B0D33">
        <w:t xml:space="preserve">any councils have </w:t>
      </w:r>
      <w:r w:rsidR="00FD31EC">
        <w:t xml:space="preserve">also </w:t>
      </w:r>
      <w:r w:rsidRPr="006B0D33">
        <w:t>moved away from annual surveys</w:t>
      </w:r>
      <w:r>
        <w:t>,</w:t>
      </w:r>
      <w:r w:rsidRPr="006B0D33">
        <w:t xml:space="preserve"> but this is likely to change as the new regulatory inspection regime comes in.</w:t>
      </w:r>
    </w:p>
    <w:p w:rsidR="006A235A" w:rsidRPr="006B0D33" w:rsidRDefault="006A235A" w:rsidP="00E9659B"/>
    <w:p w:rsidR="006B0D33" w:rsidRPr="006B0D33" w:rsidRDefault="006B0D33">
      <w:r w:rsidRPr="006B0D33">
        <w:br w:type="page"/>
      </w:r>
    </w:p>
    <w:p w:rsidR="006B0D33" w:rsidRPr="006B0D33" w:rsidRDefault="006B0D33" w:rsidP="006B0D33">
      <w:pPr>
        <w:rPr>
          <w:b/>
        </w:rPr>
      </w:pPr>
      <w:r w:rsidRPr="006B0D33">
        <w:rPr>
          <w:b/>
        </w:rPr>
        <w:t xml:space="preserve">Appendix </w:t>
      </w:r>
      <w:r w:rsidR="0053413E">
        <w:rPr>
          <w:b/>
        </w:rPr>
        <w:t>B</w:t>
      </w:r>
      <w:r w:rsidRPr="006B0D33">
        <w:rPr>
          <w:b/>
        </w:rPr>
        <w:t xml:space="preserve"> – </w:t>
      </w:r>
      <w:r w:rsidR="0053413E">
        <w:rPr>
          <w:b/>
        </w:rPr>
        <w:t>F</w:t>
      </w:r>
      <w:r w:rsidRPr="006B0D33">
        <w:rPr>
          <w:b/>
        </w:rPr>
        <w:t>ull survey results</w:t>
      </w:r>
    </w:p>
    <w:p w:rsidR="006B0D33" w:rsidRPr="006B0D33" w:rsidRDefault="006B0D33" w:rsidP="006B0D33"/>
    <w:p w:rsidR="006B0D33" w:rsidRPr="006B0D33" w:rsidRDefault="006B0D33" w:rsidP="006B0D33">
      <w:r w:rsidRPr="006B0D33">
        <w:t>The percentages shown below relate to “satisfied” and “very satisfied” responses and do not include “neither”, “dissatisfied” or “very dissatisfied”.</w:t>
      </w:r>
    </w:p>
    <w:p w:rsidR="006B0D33" w:rsidRPr="006B0D33" w:rsidRDefault="006B0D33" w:rsidP="006B0D33"/>
    <w:tbl>
      <w:tblPr>
        <w:tblStyle w:val="TableGrid"/>
        <w:tblW w:w="9322" w:type="dxa"/>
        <w:tblLayout w:type="fixed"/>
        <w:tblLook w:val="04A0" w:firstRow="1" w:lastRow="0" w:firstColumn="1" w:lastColumn="0" w:noHBand="0" w:noVBand="1"/>
      </w:tblPr>
      <w:tblGrid>
        <w:gridCol w:w="7621"/>
        <w:gridCol w:w="851"/>
        <w:gridCol w:w="850"/>
      </w:tblGrid>
      <w:tr w:rsidR="006B0D33" w:rsidRPr="006B0D33" w:rsidTr="00501941">
        <w:trPr>
          <w:cantSplit/>
          <w:tblHeader/>
        </w:trPr>
        <w:tc>
          <w:tcPr>
            <w:tcW w:w="7621" w:type="dxa"/>
          </w:tcPr>
          <w:p w:rsidR="006B0D33" w:rsidRPr="006B0D33" w:rsidRDefault="006B0D33" w:rsidP="006B0D33">
            <w:pPr>
              <w:rPr>
                <w:b/>
              </w:rPr>
            </w:pPr>
            <w:r w:rsidRPr="006B0D33">
              <w:rPr>
                <w:b/>
              </w:rPr>
              <w:t xml:space="preserve">Question </w:t>
            </w:r>
            <w:r>
              <w:rPr>
                <w:b/>
              </w:rPr>
              <w:t>t</w:t>
            </w:r>
            <w:r w:rsidRPr="006B0D33">
              <w:rPr>
                <w:b/>
              </w:rPr>
              <w:t>heme</w:t>
            </w:r>
          </w:p>
        </w:tc>
        <w:tc>
          <w:tcPr>
            <w:tcW w:w="851" w:type="dxa"/>
          </w:tcPr>
          <w:p w:rsidR="006B0D33" w:rsidRPr="006B0D33" w:rsidRDefault="006B0D33" w:rsidP="00501941">
            <w:pPr>
              <w:jc w:val="right"/>
              <w:rPr>
                <w:b/>
              </w:rPr>
            </w:pPr>
            <w:r w:rsidRPr="006B0D33">
              <w:rPr>
                <w:b/>
              </w:rPr>
              <w:t>2021</w:t>
            </w:r>
          </w:p>
        </w:tc>
        <w:tc>
          <w:tcPr>
            <w:tcW w:w="850" w:type="dxa"/>
          </w:tcPr>
          <w:p w:rsidR="006B0D33" w:rsidRPr="006B0D33" w:rsidRDefault="006B0D33" w:rsidP="00501941">
            <w:pPr>
              <w:jc w:val="right"/>
              <w:rPr>
                <w:b/>
              </w:rPr>
            </w:pPr>
            <w:r w:rsidRPr="006B0D33">
              <w:rPr>
                <w:b/>
              </w:rPr>
              <w:t>2015*</w:t>
            </w:r>
          </w:p>
        </w:tc>
      </w:tr>
      <w:tr w:rsidR="006B0D33" w:rsidRPr="006B0D33" w:rsidTr="006B0D33">
        <w:tc>
          <w:tcPr>
            <w:tcW w:w="7621" w:type="dxa"/>
          </w:tcPr>
          <w:p w:rsidR="006B0D33" w:rsidRPr="006B0D33" w:rsidRDefault="006B0D33" w:rsidP="006B0D33">
            <w:r w:rsidRPr="006B0D33">
              <w:t xml:space="preserve">Overall satisfaction with the </w:t>
            </w:r>
            <w:r>
              <w:t>c</w:t>
            </w:r>
            <w:r w:rsidRPr="006B0D33">
              <w:t xml:space="preserve">ouncil as a </w:t>
            </w:r>
            <w:r>
              <w:t>l</w:t>
            </w:r>
            <w:r w:rsidRPr="006B0D33">
              <w:t xml:space="preserve">andlord </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r w:rsidRPr="006B0D33">
              <w:t>83%</w:t>
            </w:r>
          </w:p>
        </w:tc>
      </w:tr>
      <w:tr w:rsidR="006B0D33" w:rsidRPr="006B0D33" w:rsidTr="006B0D33">
        <w:tc>
          <w:tcPr>
            <w:tcW w:w="7621" w:type="dxa"/>
          </w:tcPr>
          <w:p w:rsidR="006B0D33" w:rsidRPr="006B0D33" w:rsidRDefault="006B0D33" w:rsidP="006B0D33">
            <w:r w:rsidRPr="006B0D33">
              <w:t xml:space="preserve">Overall </w:t>
            </w:r>
            <w:r>
              <w:t>q</w:t>
            </w:r>
            <w:r w:rsidRPr="006B0D33">
              <w:t xml:space="preserve">uality of the </w:t>
            </w:r>
            <w:r>
              <w:t>h</w:t>
            </w:r>
            <w:r w:rsidRPr="006B0D33">
              <w:t>ome</w:t>
            </w:r>
          </w:p>
        </w:tc>
        <w:tc>
          <w:tcPr>
            <w:tcW w:w="851" w:type="dxa"/>
          </w:tcPr>
          <w:p w:rsidR="006B0D33" w:rsidRPr="006B0D33" w:rsidRDefault="006B0D33" w:rsidP="00501941">
            <w:pPr>
              <w:jc w:val="right"/>
            </w:pPr>
            <w:r w:rsidRPr="006B0D33">
              <w:t>67%</w:t>
            </w:r>
          </w:p>
        </w:tc>
        <w:tc>
          <w:tcPr>
            <w:tcW w:w="850" w:type="dxa"/>
          </w:tcPr>
          <w:p w:rsidR="006B0D33" w:rsidRPr="006B0D33" w:rsidRDefault="006B0D33" w:rsidP="00501941">
            <w:pPr>
              <w:jc w:val="right"/>
            </w:pPr>
            <w:r w:rsidRPr="006B0D33">
              <w:t>79%</w:t>
            </w:r>
          </w:p>
        </w:tc>
      </w:tr>
      <w:tr w:rsidR="006B0D33" w:rsidRPr="006B0D33" w:rsidTr="006B0D33">
        <w:tc>
          <w:tcPr>
            <w:tcW w:w="7621" w:type="dxa"/>
          </w:tcPr>
          <w:p w:rsidR="006B0D33" w:rsidRPr="006B0D33" w:rsidRDefault="006B0D33" w:rsidP="006B0D33">
            <w:r w:rsidRPr="006B0D33">
              <w:t xml:space="preserve">Condition of </w:t>
            </w:r>
            <w:r>
              <w:t>h</w:t>
            </w:r>
            <w:r w:rsidRPr="006B0D33">
              <w:t>ome</w:t>
            </w:r>
          </w:p>
        </w:tc>
        <w:tc>
          <w:tcPr>
            <w:tcW w:w="851" w:type="dxa"/>
          </w:tcPr>
          <w:p w:rsidR="006B0D33" w:rsidRPr="006B0D33" w:rsidRDefault="006B0D33" w:rsidP="00501941">
            <w:pPr>
              <w:jc w:val="right"/>
            </w:pPr>
            <w:r w:rsidRPr="006B0D33">
              <w:t>66%</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Safe and </w:t>
            </w:r>
            <w:r>
              <w:t>s</w:t>
            </w:r>
            <w:r w:rsidRPr="006B0D33">
              <w:t xml:space="preserve">ecure </w:t>
            </w:r>
            <w:r>
              <w:t>h</w:t>
            </w:r>
            <w:r w:rsidRPr="006B0D33">
              <w:t>ome</w:t>
            </w:r>
          </w:p>
        </w:tc>
        <w:tc>
          <w:tcPr>
            <w:tcW w:w="851" w:type="dxa"/>
          </w:tcPr>
          <w:p w:rsidR="006B0D33" w:rsidRPr="006B0D33" w:rsidRDefault="006B0D33" w:rsidP="00501941">
            <w:pPr>
              <w:jc w:val="right"/>
            </w:pPr>
            <w:r w:rsidRPr="006B0D33">
              <w:t>80%</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Communal </w:t>
            </w:r>
            <w:r>
              <w:t>a</w:t>
            </w:r>
            <w:r w:rsidRPr="006B0D33">
              <w:t xml:space="preserve">reas </w:t>
            </w:r>
            <w:r>
              <w:t>s</w:t>
            </w:r>
            <w:r w:rsidRPr="006B0D33">
              <w:t xml:space="preserve">afe and </w:t>
            </w:r>
            <w:r>
              <w:t>c</w:t>
            </w:r>
            <w:r w:rsidRPr="006B0D33">
              <w:t>lean</w:t>
            </w:r>
          </w:p>
        </w:tc>
        <w:tc>
          <w:tcPr>
            <w:tcW w:w="851" w:type="dxa"/>
          </w:tcPr>
          <w:p w:rsidR="006B0D33" w:rsidRPr="006B0D33" w:rsidRDefault="006B0D33" w:rsidP="00501941">
            <w:pPr>
              <w:jc w:val="right"/>
            </w:pPr>
            <w:r w:rsidRPr="006B0D33">
              <w:t>75%</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Value for </w:t>
            </w:r>
            <w:r>
              <w:t>m</w:t>
            </w:r>
            <w:r w:rsidRPr="006B0D33">
              <w:t>oney (</w:t>
            </w:r>
            <w:r>
              <w:t>r</w:t>
            </w:r>
            <w:r w:rsidRPr="006B0D33">
              <w:t>ent)</w:t>
            </w:r>
          </w:p>
        </w:tc>
        <w:tc>
          <w:tcPr>
            <w:tcW w:w="851" w:type="dxa"/>
          </w:tcPr>
          <w:p w:rsidR="006B0D33" w:rsidRPr="006B0D33" w:rsidRDefault="006B0D33" w:rsidP="00501941">
            <w:pPr>
              <w:jc w:val="right"/>
            </w:pPr>
            <w:r w:rsidRPr="006B0D33">
              <w:t>81%</w:t>
            </w:r>
          </w:p>
        </w:tc>
        <w:tc>
          <w:tcPr>
            <w:tcW w:w="850" w:type="dxa"/>
          </w:tcPr>
          <w:p w:rsidR="006B0D33" w:rsidRPr="006B0D33" w:rsidRDefault="006B0D33" w:rsidP="00501941">
            <w:pPr>
              <w:jc w:val="right"/>
            </w:pPr>
            <w:r w:rsidRPr="006B0D33">
              <w:t>75%</w:t>
            </w:r>
          </w:p>
        </w:tc>
      </w:tr>
      <w:tr w:rsidR="006B0D33" w:rsidRPr="006B0D33" w:rsidTr="006B0D33">
        <w:tc>
          <w:tcPr>
            <w:tcW w:w="7621" w:type="dxa"/>
          </w:tcPr>
          <w:p w:rsidR="006B0D33" w:rsidRPr="006B0D33" w:rsidRDefault="006B0D33" w:rsidP="006B0D33">
            <w:r w:rsidRPr="006B0D33">
              <w:t xml:space="preserve">Value for </w:t>
            </w:r>
            <w:r>
              <w:t>m</w:t>
            </w:r>
            <w:r w:rsidRPr="006B0D33">
              <w:t>oney (</w:t>
            </w:r>
            <w:r>
              <w:t>s</w:t>
            </w:r>
            <w:r w:rsidRPr="006B0D33">
              <w:t xml:space="preserve">ervice </w:t>
            </w:r>
            <w:r>
              <w:t>c</w:t>
            </w:r>
            <w:r w:rsidRPr="006B0D33">
              <w:t>harges)</w:t>
            </w:r>
          </w:p>
        </w:tc>
        <w:tc>
          <w:tcPr>
            <w:tcW w:w="851" w:type="dxa"/>
          </w:tcPr>
          <w:p w:rsidR="006B0D33" w:rsidRPr="006B0D33" w:rsidRDefault="006B0D33" w:rsidP="00501941">
            <w:pPr>
              <w:jc w:val="right"/>
            </w:pPr>
            <w:r w:rsidRPr="006B0D33">
              <w:t>68%</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Neighbourhood as a </w:t>
            </w:r>
            <w:r>
              <w:t>p</w:t>
            </w:r>
            <w:r w:rsidRPr="006B0D33">
              <w:t xml:space="preserve">lace to </w:t>
            </w:r>
            <w:r>
              <w:t>l</w:t>
            </w:r>
            <w:r w:rsidRPr="006B0D33">
              <w:t>ive</w:t>
            </w:r>
          </w:p>
        </w:tc>
        <w:tc>
          <w:tcPr>
            <w:tcW w:w="851" w:type="dxa"/>
          </w:tcPr>
          <w:p w:rsidR="006B0D33" w:rsidRPr="006B0D33" w:rsidRDefault="006B0D33" w:rsidP="00501941">
            <w:pPr>
              <w:jc w:val="right"/>
            </w:pPr>
            <w:r w:rsidRPr="006B0D33">
              <w:t>75%</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t>Overall appearance of the n</w:t>
            </w:r>
            <w:r w:rsidRPr="006B0D33">
              <w:t>eighbourhood</w:t>
            </w:r>
          </w:p>
        </w:tc>
        <w:tc>
          <w:tcPr>
            <w:tcW w:w="851" w:type="dxa"/>
          </w:tcPr>
          <w:p w:rsidR="006B0D33" w:rsidRPr="006B0D33" w:rsidRDefault="006B0D33" w:rsidP="00501941">
            <w:pPr>
              <w:jc w:val="right"/>
            </w:pPr>
            <w:r w:rsidRPr="006B0D33">
              <w:t>73%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t>Overall repairs and maintenance s</w:t>
            </w:r>
            <w:r w:rsidRPr="006B0D33">
              <w:t>ervice</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r w:rsidRPr="006B0D33">
              <w:t>77%</w:t>
            </w:r>
          </w:p>
        </w:tc>
      </w:tr>
      <w:tr w:rsidR="006B0D33" w:rsidRPr="006B0D33" w:rsidTr="006B0D33">
        <w:tc>
          <w:tcPr>
            <w:tcW w:w="7621" w:type="dxa"/>
          </w:tcPr>
          <w:p w:rsidR="006B0D33" w:rsidRPr="006B0D33" w:rsidRDefault="006B0D33" w:rsidP="006B0D33">
            <w:r w:rsidRPr="006B0D33">
              <w:t>Repairs right first time</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Last repair carried out</w:t>
            </w:r>
          </w:p>
        </w:tc>
        <w:tc>
          <w:tcPr>
            <w:tcW w:w="851" w:type="dxa"/>
          </w:tcPr>
          <w:p w:rsidR="006B0D33" w:rsidRPr="006B0D33" w:rsidRDefault="006B0D33" w:rsidP="00501941">
            <w:pPr>
              <w:jc w:val="right"/>
            </w:pPr>
            <w:r w:rsidRPr="006B0D33">
              <w:t>79%</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OCC is </w:t>
            </w:r>
            <w:r>
              <w:t>e</w:t>
            </w:r>
            <w:r w:rsidRPr="006B0D33">
              <w:t xml:space="preserve">asy to </w:t>
            </w:r>
            <w:r>
              <w:t>d</w:t>
            </w:r>
            <w:r w:rsidRPr="006B0D33">
              <w:t>eal</w:t>
            </w:r>
            <w:r>
              <w:t xml:space="preserve"> with</w:t>
            </w:r>
          </w:p>
        </w:tc>
        <w:tc>
          <w:tcPr>
            <w:tcW w:w="851" w:type="dxa"/>
          </w:tcPr>
          <w:p w:rsidR="006B0D33" w:rsidRPr="006B0D33" w:rsidRDefault="006B0D33" w:rsidP="00501941">
            <w:pPr>
              <w:jc w:val="right"/>
            </w:pPr>
            <w:r w:rsidRPr="006B0D33">
              <w:t>77%</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Customer service they receive</w:t>
            </w:r>
          </w:p>
        </w:tc>
        <w:tc>
          <w:tcPr>
            <w:tcW w:w="851" w:type="dxa"/>
          </w:tcPr>
          <w:p w:rsidR="006B0D33" w:rsidRPr="006B0D33" w:rsidRDefault="006B0D33" w:rsidP="00501941">
            <w:pPr>
              <w:jc w:val="right"/>
            </w:pPr>
            <w:r w:rsidRPr="006B0D33">
              <w:t>85%</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Being kept informed about things that might affect them</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r w:rsidRPr="006B0D33">
              <w:t>74%</w:t>
            </w:r>
          </w:p>
        </w:tc>
      </w:tr>
      <w:tr w:rsidR="006B0D33" w:rsidRPr="006B0D33" w:rsidTr="006B0D33">
        <w:tc>
          <w:tcPr>
            <w:tcW w:w="7621" w:type="dxa"/>
          </w:tcPr>
          <w:p w:rsidR="006B0D33" w:rsidRPr="006B0D33" w:rsidRDefault="006B0D33" w:rsidP="006B0D33">
            <w:r w:rsidRPr="006B0D33">
              <w:t>Having a say in how services are managed</w:t>
            </w:r>
          </w:p>
        </w:tc>
        <w:tc>
          <w:tcPr>
            <w:tcW w:w="851" w:type="dxa"/>
          </w:tcPr>
          <w:p w:rsidR="006B0D33" w:rsidRPr="006B0D33" w:rsidRDefault="006B0D33" w:rsidP="00501941">
            <w:pPr>
              <w:jc w:val="right"/>
            </w:pPr>
            <w:r w:rsidRPr="006B0D33">
              <w:t>63%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Tenants views being listened to and acted upon</w:t>
            </w:r>
          </w:p>
        </w:tc>
        <w:tc>
          <w:tcPr>
            <w:tcW w:w="851" w:type="dxa"/>
          </w:tcPr>
          <w:p w:rsidR="006B0D33" w:rsidRPr="006B0D33" w:rsidRDefault="006B0D33" w:rsidP="00501941">
            <w:pPr>
              <w:jc w:val="right"/>
            </w:pPr>
            <w:r w:rsidRPr="006B0D33">
              <w:t>55%</w:t>
            </w:r>
          </w:p>
        </w:tc>
        <w:tc>
          <w:tcPr>
            <w:tcW w:w="850" w:type="dxa"/>
          </w:tcPr>
          <w:p w:rsidR="006B0D33" w:rsidRPr="006B0D33" w:rsidRDefault="006B0D33" w:rsidP="00501941">
            <w:pPr>
              <w:jc w:val="right"/>
            </w:pPr>
            <w:r w:rsidRPr="006B0D33">
              <w:t>60%</w:t>
            </w:r>
          </w:p>
        </w:tc>
      </w:tr>
      <w:tr w:rsidR="006B0D33" w:rsidRPr="006B0D33" w:rsidTr="006B0D33">
        <w:tc>
          <w:tcPr>
            <w:tcW w:w="7621" w:type="dxa"/>
          </w:tcPr>
          <w:p w:rsidR="006B0D33" w:rsidRPr="006B0D33" w:rsidRDefault="006B0D33" w:rsidP="006B0D33">
            <w:r w:rsidRPr="006B0D33">
              <w:t>Support received when dealing with ASB case</w:t>
            </w:r>
          </w:p>
        </w:tc>
        <w:tc>
          <w:tcPr>
            <w:tcW w:w="851" w:type="dxa"/>
          </w:tcPr>
          <w:p w:rsidR="006B0D33" w:rsidRPr="006B0D33" w:rsidRDefault="006B0D33" w:rsidP="00501941">
            <w:pPr>
              <w:jc w:val="right"/>
            </w:pPr>
            <w:r w:rsidRPr="006B0D33">
              <w:t>53%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Speed of the ASB case</w:t>
            </w:r>
          </w:p>
        </w:tc>
        <w:tc>
          <w:tcPr>
            <w:tcW w:w="851" w:type="dxa"/>
          </w:tcPr>
          <w:p w:rsidR="006B0D33" w:rsidRPr="006B0D33" w:rsidRDefault="006B0D33" w:rsidP="00501941">
            <w:pPr>
              <w:jc w:val="right"/>
            </w:pPr>
            <w:r w:rsidRPr="006B0D33">
              <w:t>53%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Final </w:t>
            </w:r>
            <w:r>
              <w:t>o</w:t>
            </w:r>
            <w:r w:rsidRPr="006B0D33">
              <w:t>utcome of the ASB case</w:t>
            </w:r>
          </w:p>
        </w:tc>
        <w:tc>
          <w:tcPr>
            <w:tcW w:w="851" w:type="dxa"/>
          </w:tcPr>
          <w:p w:rsidR="006B0D33" w:rsidRPr="006B0D33" w:rsidRDefault="006B0D33" w:rsidP="00501941">
            <w:pPr>
              <w:jc w:val="right"/>
            </w:pPr>
            <w:r w:rsidRPr="006B0D33">
              <w:t>49%</w:t>
            </w:r>
          </w:p>
        </w:tc>
        <w:tc>
          <w:tcPr>
            <w:tcW w:w="850" w:type="dxa"/>
          </w:tcPr>
          <w:p w:rsidR="006B0D33" w:rsidRPr="006B0D33" w:rsidRDefault="006B0D33" w:rsidP="00501941">
            <w:pPr>
              <w:jc w:val="right"/>
            </w:pPr>
            <w:r w:rsidRPr="006B0D33">
              <w:t>60%</w:t>
            </w:r>
          </w:p>
        </w:tc>
      </w:tr>
      <w:tr w:rsidR="006B0D33" w:rsidRPr="006B0D33" w:rsidTr="006B0D33">
        <w:tc>
          <w:tcPr>
            <w:tcW w:w="7621" w:type="dxa"/>
          </w:tcPr>
          <w:p w:rsidR="006B0D33" w:rsidRPr="006B0D33" w:rsidRDefault="006B0D33" w:rsidP="006B0D33">
            <w:r w:rsidRPr="006B0D33">
              <w:t>The way a complaint was handled</w:t>
            </w:r>
          </w:p>
        </w:tc>
        <w:tc>
          <w:tcPr>
            <w:tcW w:w="851" w:type="dxa"/>
          </w:tcPr>
          <w:p w:rsidR="006B0D33" w:rsidRPr="006B0D33" w:rsidRDefault="006B0D33" w:rsidP="00501941">
            <w:pPr>
              <w:jc w:val="right"/>
            </w:pPr>
            <w:r w:rsidRPr="006B0D33">
              <w:t>49%</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The final outcome of a complaint</w:t>
            </w:r>
          </w:p>
        </w:tc>
        <w:tc>
          <w:tcPr>
            <w:tcW w:w="851" w:type="dxa"/>
          </w:tcPr>
          <w:p w:rsidR="006B0D33" w:rsidRPr="006B0D33" w:rsidRDefault="006B0D33" w:rsidP="00501941">
            <w:pPr>
              <w:jc w:val="right"/>
            </w:pPr>
            <w:r w:rsidRPr="006B0D33">
              <w:t>33%</w:t>
            </w:r>
          </w:p>
        </w:tc>
        <w:tc>
          <w:tcPr>
            <w:tcW w:w="850" w:type="dxa"/>
          </w:tcPr>
          <w:p w:rsidR="006B0D33" w:rsidRPr="006B0D33" w:rsidRDefault="006B0D33" w:rsidP="00501941">
            <w:pPr>
              <w:jc w:val="right"/>
            </w:pPr>
          </w:p>
        </w:tc>
      </w:tr>
    </w:tbl>
    <w:p w:rsidR="006B0D33" w:rsidRPr="006B0D33" w:rsidRDefault="006B0D33" w:rsidP="006B0D33">
      <w:r w:rsidRPr="006B0D33">
        <w:t>* 2015 figures shown where available</w:t>
      </w:r>
    </w:p>
    <w:p w:rsidR="006B0D33" w:rsidRPr="006B0D33" w:rsidRDefault="006B0D33" w:rsidP="006B0D33"/>
    <w:tbl>
      <w:tblPr>
        <w:tblStyle w:val="TableGrid"/>
        <w:tblW w:w="0" w:type="auto"/>
        <w:tblLook w:val="04A0" w:firstRow="1" w:lastRow="0" w:firstColumn="1" w:lastColumn="0" w:noHBand="0" w:noVBand="1"/>
      </w:tblPr>
      <w:tblGrid>
        <w:gridCol w:w="3003"/>
        <w:gridCol w:w="3008"/>
        <w:gridCol w:w="3005"/>
      </w:tblGrid>
      <w:tr w:rsidR="006B0D33" w:rsidRPr="006B0D33" w:rsidTr="006B0D33">
        <w:tc>
          <w:tcPr>
            <w:tcW w:w="9242" w:type="dxa"/>
            <w:gridSpan w:val="3"/>
          </w:tcPr>
          <w:p w:rsidR="006B0D33" w:rsidRPr="006B0D33" w:rsidRDefault="006B0D33" w:rsidP="006B0D33">
            <w:pPr>
              <w:rPr>
                <w:b/>
              </w:rPr>
            </w:pPr>
            <w:r w:rsidRPr="006B0D33">
              <w:rPr>
                <w:b/>
              </w:rPr>
              <w:t>Perception of neighbourhood over the last three years</w:t>
            </w:r>
          </w:p>
        </w:tc>
      </w:tr>
      <w:tr w:rsidR="006B0D33" w:rsidRPr="006B0D33" w:rsidTr="006B0D33">
        <w:tc>
          <w:tcPr>
            <w:tcW w:w="3080" w:type="dxa"/>
          </w:tcPr>
          <w:p w:rsidR="006B0D33" w:rsidRPr="006B0D33" w:rsidRDefault="006B0D33" w:rsidP="006B0D33">
            <w:pPr>
              <w:jc w:val="center"/>
            </w:pPr>
            <w:r>
              <w:t>Got b</w:t>
            </w:r>
            <w:r w:rsidRPr="006B0D33">
              <w:t>etter</w:t>
            </w:r>
          </w:p>
        </w:tc>
        <w:tc>
          <w:tcPr>
            <w:tcW w:w="3081" w:type="dxa"/>
          </w:tcPr>
          <w:p w:rsidR="006B0D33" w:rsidRPr="006B0D33" w:rsidRDefault="006B0D33" w:rsidP="006B0D33">
            <w:pPr>
              <w:jc w:val="center"/>
            </w:pPr>
            <w:r w:rsidRPr="006B0D33">
              <w:t xml:space="preserve">Stayed the </w:t>
            </w:r>
            <w:r>
              <w:t>s</w:t>
            </w:r>
            <w:r w:rsidRPr="006B0D33">
              <w:t>ame</w:t>
            </w:r>
          </w:p>
        </w:tc>
        <w:tc>
          <w:tcPr>
            <w:tcW w:w="3081" w:type="dxa"/>
          </w:tcPr>
          <w:p w:rsidR="006B0D33" w:rsidRPr="006B0D33" w:rsidRDefault="006B0D33" w:rsidP="006B0D33">
            <w:pPr>
              <w:jc w:val="center"/>
            </w:pPr>
            <w:r w:rsidRPr="006B0D33">
              <w:t xml:space="preserve">Got </w:t>
            </w:r>
            <w:r>
              <w:t>w</w:t>
            </w:r>
            <w:r w:rsidRPr="006B0D33">
              <w:t>orse</w:t>
            </w:r>
          </w:p>
        </w:tc>
      </w:tr>
      <w:tr w:rsidR="006B0D33" w:rsidRPr="006B0D33" w:rsidTr="006B0D33">
        <w:tc>
          <w:tcPr>
            <w:tcW w:w="3080" w:type="dxa"/>
          </w:tcPr>
          <w:p w:rsidR="006B0D33" w:rsidRPr="006B0D33" w:rsidRDefault="006B0D33" w:rsidP="006B0D33">
            <w:pPr>
              <w:jc w:val="center"/>
            </w:pPr>
            <w:r w:rsidRPr="006B0D33">
              <w:t>17%</w:t>
            </w:r>
          </w:p>
        </w:tc>
        <w:tc>
          <w:tcPr>
            <w:tcW w:w="3081" w:type="dxa"/>
          </w:tcPr>
          <w:p w:rsidR="006B0D33" w:rsidRPr="006B0D33" w:rsidRDefault="006B0D33" w:rsidP="006B0D33">
            <w:pPr>
              <w:jc w:val="center"/>
            </w:pPr>
            <w:r w:rsidRPr="006B0D33">
              <w:t>60%</w:t>
            </w:r>
          </w:p>
        </w:tc>
        <w:tc>
          <w:tcPr>
            <w:tcW w:w="3081" w:type="dxa"/>
          </w:tcPr>
          <w:p w:rsidR="006B0D33" w:rsidRPr="006B0D33" w:rsidRDefault="006B0D33" w:rsidP="006B0D33">
            <w:pPr>
              <w:jc w:val="center"/>
            </w:pPr>
            <w:r w:rsidRPr="006B0D33">
              <w:t>23%</w:t>
            </w:r>
          </w:p>
        </w:tc>
      </w:tr>
    </w:tbl>
    <w:p w:rsidR="006B0D33" w:rsidRDefault="006B0D33" w:rsidP="006B0D33">
      <w:pPr>
        <w:rPr>
          <w:b/>
        </w:rPr>
      </w:pPr>
    </w:p>
    <w:p w:rsidR="006B0D33" w:rsidRPr="006B0D33" w:rsidRDefault="006B0D33" w:rsidP="006B0D33">
      <w:pPr>
        <w:rPr>
          <w:b/>
        </w:rPr>
      </w:pPr>
      <w:r w:rsidRPr="006B0D33">
        <w:rPr>
          <w:b/>
        </w:rPr>
        <w:t>Perceptions</w:t>
      </w:r>
    </w:p>
    <w:p w:rsidR="006B0D33" w:rsidRPr="006B0D33" w:rsidRDefault="006B0D33" w:rsidP="006B0D33">
      <w:pPr>
        <w:rPr>
          <w:b/>
          <w:i/>
        </w:rPr>
      </w:pPr>
    </w:p>
    <w:tbl>
      <w:tblPr>
        <w:tblW w:w="9016" w:type="dxa"/>
        <w:tblLook w:val="04A0" w:firstRow="1" w:lastRow="0" w:firstColumn="1" w:lastColumn="0" w:noHBand="0" w:noVBand="1"/>
      </w:tblPr>
      <w:tblGrid>
        <w:gridCol w:w="5505"/>
        <w:gridCol w:w="1150"/>
        <w:gridCol w:w="1131"/>
        <w:gridCol w:w="1230"/>
      </w:tblGrid>
      <w:tr w:rsidR="006B0D33" w:rsidRPr="006B0D33" w:rsidTr="00501941">
        <w:trPr>
          <w:cantSplit/>
          <w:trHeight w:val="50"/>
          <w:tblHeader/>
        </w:trPr>
        <w:tc>
          <w:tcPr>
            <w:tcW w:w="5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D33" w:rsidRPr="006B0D33" w:rsidRDefault="006B0D33" w:rsidP="006B0D33">
            <w:pPr>
              <w:rPr>
                <w:color w:val="000000"/>
              </w:rPr>
            </w:pPr>
            <w:r w:rsidRPr="006B0D33">
              <w:rPr>
                <w:color w:val="000000"/>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Agree</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Neither</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Disagree</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takes health and safety concerns seriously</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69</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19</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12</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tenants fairly</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73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10</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is open and transparent</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24</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13</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cares about their customers</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66</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20</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14</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has friendly and approachable staff</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81</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13</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keeps its promises</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56</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25</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19</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feel valued by OCC</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58</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23</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20</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me with respect</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73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10</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trust OCC</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66</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19</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15</w:t>
            </w:r>
            <w:r w:rsidR="00501941">
              <w:rPr>
                <w:color w:val="000000"/>
              </w:rPr>
              <w:t>%</w:t>
            </w:r>
          </w:p>
        </w:tc>
      </w:tr>
    </w:tbl>
    <w:p w:rsidR="006B0D33" w:rsidRPr="006B0D33" w:rsidRDefault="006B0D33" w:rsidP="006B0D33">
      <w:pPr>
        <w:rPr>
          <w:i/>
        </w:rPr>
      </w:pPr>
    </w:p>
    <w:p w:rsidR="00501941" w:rsidRDefault="00501941" w:rsidP="006B0D33">
      <w:pPr>
        <w:rPr>
          <w:b/>
        </w:rPr>
      </w:pPr>
    </w:p>
    <w:p w:rsidR="006B0D33" w:rsidRPr="006B0D33" w:rsidRDefault="006B0D33" w:rsidP="006B0D33">
      <w:pPr>
        <w:rPr>
          <w:b/>
        </w:rPr>
      </w:pPr>
      <w:r w:rsidRPr="006B0D33">
        <w:rPr>
          <w:b/>
        </w:rPr>
        <w:t>Demographics</w:t>
      </w:r>
    </w:p>
    <w:p w:rsidR="006B0D33" w:rsidRPr="006B0D33" w:rsidRDefault="006B0D33" w:rsidP="006B0D33"/>
    <w:tbl>
      <w:tblPr>
        <w:tblW w:w="7891" w:type="dxa"/>
        <w:tblLook w:val="04A0" w:firstRow="1" w:lastRow="0" w:firstColumn="1" w:lastColumn="0" w:noHBand="0" w:noVBand="1"/>
      </w:tblPr>
      <w:tblGrid>
        <w:gridCol w:w="4560"/>
        <w:gridCol w:w="1337"/>
        <w:gridCol w:w="1097"/>
        <w:gridCol w:w="897"/>
      </w:tblGrid>
      <w:tr w:rsidR="006B0D33" w:rsidRPr="006B0D33" w:rsidTr="006B0D33">
        <w:trPr>
          <w:trHeight w:val="300"/>
        </w:trPr>
        <w:tc>
          <w:tcPr>
            <w:tcW w:w="4560" w:type="dxa"/>
            <w:tcBorders>
              <w:top w:val="nil"/>
              <w:left w:val="nil"/>
              <w:bottom w:val="nil"/>
              <w:right w:val="nil"/>
            </w:tcBorders>
            <w:shd w:val="clear" w:color="auto" w:fill="auto"/>
            <w:noWrap/>
            <w:vAlign w:val="bottom"/>
            <w:hideMark/>
          </w:tcPr>
          <w:p w:rsidR="006B0D33" w:rsidRPr="006B0D33" w:rsidRDefault="006B0D33" w:rsidP="006B0D33">
            <w:pPr>
              <w:rPr>
                <w:rFonts w:eastAsia="Times New Roman"/>
                <w:lang w:eastAsia="en-GB"/>
              </w:rPr>
            </w:pPr>
          </w:p>
        </w:tc>
        <w:tc>
          <w:tcPr>
            <w:tcW w:w="33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B0D33" w:rsidRPr="00501941" w:rsidRDefault="006B0D33" w:rsidP="006B0D33">
            <w:pPr>
              <w:jc w:val="center"/>
              <w:rPr>
                <w:rFonts w:eastAsia="Times New Roman"/>
                <w:b/>
                <w:color w:val="000000"/>
                <w:lang w:eastAsia="en-GB"/>
              </w:rPr>
            </w:pPr>
            <w:r w:rsidRPr="00501941">
              <w:rPr>
                <w:rFonts w:eastAsia="Times New Roman"/>
                <w:b/>
                <w:color w:val="000000"/>
                <w:lang w:eastAsia="en-GB"/>
              </w:rPr>
              <w:t>Age</w:t>
            </w:r>
          </w:p>
        </w:tc>
      </w:tr>
      <w:tr w:rsidR="006B0D33" w:rsidRPr="006B0D33" w:rsidTr="006B0D33">
        <w:trPr>
          <w:trHeight w:val="300"/>
        </w:trPr>
        <w:tc>
          <w:tcPr>
            <w:tcW w:w="4560" w:type="dxa"/>
            <w:tcBorders>
              <w:top w:val="nil"/>
              <w:left w:val="nil"/>
              <w:bottom w:val="nil"/>
              <w:right w:val="nil"/>
            </w:tcBorders>
            <w:shd w:val="clear" w:color="auto" w:fill="auto"/>
            <w:noWrap/>
            <w:vAlign w:val="bottom"/>
            <w:hideMark/>
          </w:tcPr>
          <w:p w:rsidR="006B0D33" w:rsidRPr="006B0D33" w:rsidRDefault="006B0D33" w:rsidP="006B0D33">
            <w:pPr>
              <w:jc w:val="center"/>
              <w:rPr>
                <w:rFonts w:eastAsia="Times New Roman"/>
                <w:i/>
                <w:color w:val="00000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Under 25</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25 - 59</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60+</w:t>
            </w:r>
          </w:p>
        </w:tc>
      </w:tr>
      <w:tr w:rsidR="006B0D33" w:rsidRPr="006B0D33" w:rsidTr="006B0D33">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D33" w:rsidRPr="006B0D33" w:rsidRDefault="006B0D33" w:rsidP="00FD31EC">
            <w:pPr>
              <w:rPr>
                <w:rFonts w:eastAsia="Times New Roman"/>
                <w:color w:val="000000"/>
                <w:lang w:eastAsia="en-GB"/>
              </w:rPr>
            </w:pPr>
            <w:r w:rsidRPr="006B0D33">
              <w:rPr>
                <w:rFonts w:eastAsia="Times New Roman"/>
                <w:color w:val="000000"/>
                <w:lang w:eastAsia="en-GB"/>
              </w:rPr>
              <w:t xml:space="preserve">Overall </w:t>
            </w:r>
            <w:r w:rsidR="00FD31EC">
              <w:rPr>
                <w:rFonts w:eastAsia="Times New Roman"/>
                <w:color w:val="000000"/>
                <w:lang w:eastAsia="en-GB"/>
              </w:rPr>
              <w:t>s</w:t>
            </w:r>
            <w:r w:rsidRPr="006B0D33">
              <w:rPr>
                <w:rFonts w:eastAsia="Times New Roman"/>
                <w:color w:val="000000"/>
                <w:lang w:eastAsia="en-GB"/>
              </w:rPr>
              <w:t>atisfaction</w:t>
            </w:r>
          </w:p>
        </w:tc>
        <w:tc>
          <w:tcPr>
            <w:tcW w:w="133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58</w:t>
            </w:r>
            <w:r w:rsidR="00501941">
              <w:rPr>
                <w:rFonts w:eastAsia="Times New Roman"/>
                <w:color w:val="000000"/>
                <w:lang w:eastAsia="en-GB"/>
              </w:rPr>
              <w:t>%</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70</w:t>
            </w:r>
            <w:r w:rsidR="00501941">
              <w:rPr>
                <w:rFonts w:eastAsia="Times New Roman"/>
                <w:color w:val="000000"/>
                <w:lang w:eastAsia="en-GB"/>
              </w:rPr>
              <w:t>%</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85</w:t>
            </w:r>
            <w:r w:rsidR="00501941">
              <w:rPr>
                <w:rFonts w:eastAsia="Times New Roman"/>
                <w:color w:val="000000"/>
                <w:lang w:eastAsia="en-GB"/>
              </w:rPr>
              <w:t>%</w:t>
            </w:r>
          </w:p>
        </w:tc>
      </w:tr>
      <w:tr w:rsidR="006B0D33" w:rsidRPr="006B0D33" w:rsidTr="006B0D33">
        <w:trPr>
          <w:trHeight w:val="30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FD31EC" w:rsidP="006B0D33">
            <w:pPr>
              <w:rPr>
                <w:rFonts w:eastAsia="Times New Roman"/>
                <w:color w:val="000000"/>
                <w:lang w:eastAsia="en-GB"/>
              </w:rPr>
            </w:pPr>
            <w:r>
              <w:rPr>
                <w:rFonts w:eastAsia="Times New Roman"/>
                <w:color w:val="000000"/>
                <w:lang w:eastAsia="en-GB"/>
              </w:rPr>
              <w:t>Quality of h</w:t>
            </w:r>
            <w:r w:rsidR="006B0D33" w:rsidRPr="006B0D33">
              <w:rPr>
                <w:rFonts w:eastAsia="Times New Roman"/>
                <w:color w:val="000000"/>
                <w:lang w:eastAsia="en-GB"/>
              </w:rPr>
              <w:t>ome</w:t>
            </w:r>
          </w:p>
        </w:tc>
        <w:tc>
          <w:tcPr>
            <w:tcW w:w="133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42</w:t>
            </w:r>
            <w:r w:rsidR="00501941">
              <w:rPr>
                <w:rFonts w:eastAsia="Times New Roman"/>
                <w:color w:val="000000"/>
                <w:lang w:eastAsia="en-GB"/>
              </w:rPr>
              <w:t>%</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57</w:t>
            </w:r>
            <w:r w:rsidR="00501941">
              <w:rPr>
                <w:rFonts w:eastAsia="Times New Roman"/>
                <w:color w:val="000000"/>
                <w:lang w:eastAsia="en-GB"/>
              </w:rPr>
              <w:t>%</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81</w:t>
            </w:r>
            <w:r w:rsidR="00501941">
              <w:rPr>
                <w:rFonts w:eastAsia="Times New Roman"/>
                <w:color w:val="000000"/>
                <w:lang w:eastAsia="en-GB"/>
              </w:rPr>
              <w:t>%</w:t>
            </w:r>
          </w:p>
        </w:tc>
      </w:tr>
      <w:tr w:rsidR="006B0D33" w:rsidRPr="006B0D33" w:rsidTr="006B0D33">
        <w:trPr>
          <w:trHeight w:val="30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FD31EC">
            <w:pPr>
              <w:rPr>
                <w:rFonts w:eastAsia="Times New Roman"/>
                <w:color w:val="000000"/>
                <w:lang w:eastAsia="en-GB"/>
              </w:rPr>
            </w:pPr>
            <w:r w:rsidRPr="006B0D33">
              <w:rPr>
                <w:rFonts w:eastAsia="Times New Roman"/>
                <w:color w:val="000000"/>
                <w:lang w:eastAsia="en-GB"/>
              </w:rPr>
              <w:t xml:space="preserve">Repairs </w:t>
            </w:r>
            <w:r w:rsidR="00FD31EC">
              <w:rPr>
                <w:rFonts w:eastAsia="Times New Roman"/>
                <w:color w:val="000000"/>
                <w:lang w:eastAsia="en-GB"/>
              </w:rPr>
              <w:t>and m</w:t>
            </w:r>
            <w:r w:rsidRPr="006B0D33">
              <w:rPr>
                <w:rFonts w:eastAsia="Times New Roman"/>
                <w:color w:val="000000"/>
                <w:lang w:eastAsia="en-GB"/>
              </w:rPr>
              <w:t>aintenance</w:t>
            </w:r>
          </w:p>
        </w:tc>
        <w:tc>
          <w:tcPr>
            <w:tcW w:w="133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63</w:t>
            </w:r>
            <w:r w:rsidR="00501941">
              <w:rPr>
                <w:rFonts w:eastAsia="Times New Roman"/>
                <w:color w:val="000000"/>
                <w:lang w:eastAsia="en-GB"/>
              </w:rPr>
              <w:t>%</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71</w:t>
            </w:r>
            <w:r w:rsidR="00501941">
              <w:rPr>
                <w:rFonts w:eastAsia="Times New Roman"/>
                <w:color w:val="000000"/>
                <w:lang w:eastAsia="en-GB"/>
              </w:rPr>
              <w:t>%</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84</w:t>
            </w:r>
            <w:r w:rsidR="00501941">
              <w:rPr>
                <w:rFonts w:eastAsia="Times New Roman"/>
                <w:color w:val="000000"/>
                <w:lang w:eastAsia="en-GB"/>
              </w:rPr>
              <w:t>%</w:t>
            </w:r>
          </w:p>
        </w:tc>
      </w:tr>
    </w:tbl>
    <w:p w:rsidR="006B0D33" w:rsidRPr="006B0D33" w:rsidRDefault="006B0D33" w:rsidP="006B0D33">
      <w:pPr>
        <w:rPr>
          <w:b/>
          <w:i/>
        </w:rPr>
      </w:pPr>
    </w:p>
    <w:p w:rsidR="006B0D33" w:rsidRPr="006B0D33" w:rsidRDefault="006B0D33" w:rsidP="006B0D33">
      <w:pPr>
        <w:rPr>
          <w:b/>
        </w:rPr>
      </w:pPr>
      <w:r w:rsidRPr="006B0D33">
        <w:rPr>
          <w:b/>
        </w:rPr>
        <w:t xml:space="preserve">Leaseholder </w:t>
      </w:r>
      <w:r>
        <w:rPr>
          <w:b/>
        </w:rPr>
        <w:t>r</w:t>
      </w:r>
      <w:r w:rsidRPr="006B0D33">
        <w:rPr>
          <w:b/>
        </w:rPr>
        <w:t>esults</w:t>
      </w:r>
    </w:p>
    <w:p w:rsidR="006B0D33" w:rsidRPr="006B0D33" w:rsidRDefault="006B0D33" w:rsidP="006B0D33">
      <w:pPr>
        <w:rPr>
          <w:b/>
        </w:rPr>
      </w:pPr>
    </w:p>
    <w:p w:rsidR="006B0D33" w:rsidRDefault="006B0D33" w:rsidP="006B0D33">
      <w:r w:rsidRPr="006B0D33">
        <w:t>Leaseholders were not surveyed in previous STAR surveys.</w:t>
      </w:r>
    </w:p>
    <w:p w:rsidR="00501941" w:rsidRPr="006B0D33" w:rsidRDefault="00501941" w:rsidP="006B0D33"/>
    <w:p w:rsidR="006B0D33" w:rsidRPr="006B0D33" w:rsidRDefault="006B0D33" w:rsidP="006B0D33">
      <w:r w:rsidRPr="006B0D33">
        <w:t>The percentages shown below relate to “satisfied” and “very satisfied” responses and do not include “neither”, “dissatisfied” or “very dissatisfied”.</w:t>
      </w:r>
    </w:p>
    <w:p w:rsidR="006B0D33" w:rsidRPr="006B0D33" w:rsidRDefault="006B0D33" w:rsidP="006B0D33"/>
    <w:tbl>
      <w:tblPr>
        <w:tblStyle w:val="TableGrid"/>
        <w:tblW w:w="8472" w:type="dxa"/>
        <w:tblLayout w:type="fixed"/>
        <w:tblLook w:val="04A0" w:firstRow="1" w:lastRow="0" w:firstColumn="1" w:lastColumn="0" w:noHBand="0" w:noVBand="1"/>
      </w:tblPr>
      <w:tblGrid>
        <w:gridCol w:w="7621"/>
        <w:gridCol w:w="851"/>
      </w:tblGrid>
      <w:tr w:rsidR="006B0D33" w:rsidRPr="006B0D33" w:rsidTr="00501941">
        <w:trPr>
          <w:cantSplit/>
          <w:tblHeader/>
        </w:trPr>
        <w:tc>
          <w:tcPr>
            <w:tcW w:w="7621" w:type="dxa"/>
          </w:tcPr>
          <w:p w:rsidR="006B0D33" w:rsidRPr="006B0D33" w:rsidRDefault="006B0D33" w:rsidP="00501941">
            <w:pPr>
              <w:rPr>
                <w:b/>
              </w:rPr>
            </w:pPr>
            <w:r w:rsidRPr="006B0D33">
              <w:rPr>
                <w:b/>
              </w:rPr>
              <w:t xml:space="preserve">Question </w:t>
            </w:r>
            <w:r w:rsidR="00501941">
              <w:rPr>
                <w:b/>
              </w:rPr>
              <w:t>t</w:t>
            </w:r>
            <w:r w:rsidRPr="006B0D33">
              <w:rPr>
                <w:b/>
              </w:rPr>
              <w:t>heme</w:t>
            </w:r>
          </w:p>
        </w:tc>
        <w:tc>
          <w:tcPr>
            <w:tcW w:w="851" w:type="dxa"/>
          </w:tcPr>
          <w:p w:rsidR="006B0D33" w:rsidRPr="006B0D33" w:rsidRDefault="006B0D33" w:rsidP="00501941">
            <w:pPr>
              <w:jc w:val="right"/>
              <w:rPr>
                <w:b/>
              </w:rPr>
            </w:pPr>
            <w:r w:rsidRPr="006B0D33">
              <w:rPr>
                <w:b/>
              </w:rPr>
              <w:t>2021</w:t>
            </w:r>
          </w:p>
        </w:tc>
      </w:tr>
      <w:tr w:rsidR="006B0D33" w:rsidRPr="006B0D33" w:rsidTr="006B0D33">
        <w:tc>
          <w:tcPr>
            <w:tcW w:w="7621" w:type="dxa"/>
          </w:tcPr>
          <w:p w:rsidR="006B0D33" w:rsidRPr="006B0D33" w:rsidRDefault="006B0D33" w:rsidP="006B0D33">
            <w:r w:rsidRPr="006B0D33">
              <w:t xml:space="preserve">Overall satisfaction with the </w:t>
            </w:r>
            <w:r>
              <w:t>c</w:t>
            </w:r>
            <w:r w:rsidRPr="006B0D33">
              <w:t xml:space="preserve">ouncil as a </w:t>
            </w:r>
            <w:r>
              <w:t>l</w:t>
            </w:r>
            <w:r w:rsidRPr="006B0D33">
              <w:t xml:space="preserve">andlord </w:t>
            </w:r>
          </w:p>
        </w:tc>
        <w:tc>
          <w:tcPr>
            <w:tcW w:w="851" w:type="dxa"/>
          </w:tcPr>
          <w:p w:rsidR="006B0D33" w:rsidRPr="006B0D33" w:rsidRDefault="006B0D33" w:rsidP="00501941">
            <w:pPr>
              <w:jc w:val="right"/>
            </w:pPr>
            <w:r w:rsidRPr="006B0D33">
              <w:t>33%</w:t>
            </w:r>
          </w:p>
        </w:tc>
      </w:tr>
      <w:tr w:rsidR="006B0D33" w:rsidRPr="006B0D33" w:rsidTr="006B0D33">
        <w:tc>
          <w:tcPr>
            <w:tcW w:w="7621" w:type="dxa"/>
          </w:tcPr>
          <w:p w:rsidR="006B0D33" w:rsidRPr="006B0D33" w:rsidRDefault="006B0D33" w:rsidP="006B0D33">
            <w:r w:rsidRPr="006B0D33">
              <w:t xml:space="preserve">Overall </w:t>
            </w:r>
            <w:r>
              <w:t>q</w:t>
            </w:r>
            <w:r w:rsidRPr="006B0D33">
              <w:t xml:space="preserve">uality of the </w:t>
            </w:r>
            <w:r>
              <w:t>h</w:t>
            </w:r>
            <w:r w:rsidRPr="006B0D33">
              <w:t>ome</w:t>
            </w:r>
          </w:p>
        </w:tc>
        <w:tc>
          <w:tcPr>
            <w:tcW w:w="851" w:type="dxa"/>
          </w:tcPr>
          <w:p w:rsidR="006B0D33" w:rsidRPr="006B0D33" w:rsidRDefault="006B0D33" w:rsidP="00501941">
            <w:pPr>
              <w:jc w:val="right"/>
            </w:pPr>
            <w:r w:rsidRPr="006B0D33">
              <w:t>60%</w:t>
            </w:r>
          </w:p>
        </w:tc>
      </w:tr>
      <w:tr w:rsidR="006B0D33" w:rsidRPr="006B0D33" w:rsidTr="006B0D33">
        <w:tc>
          <w:tcPr>
            <w:tcW w:w="7621" w:type="dxa"/>
          </w:tcPr>
          <w:p w:rsidR="006B0D33" w:rsidRPr="006B0D33" w:rsidRDefault="006B0D33" w:rsidP="006B0D33">
            <w:r w:rsidRPr="006B0D33">
              <w:t xml:space="preserve">Condition of </w:t>
            </w:r>
            <w:r>
              <w:t>h</w:t>
            </w:r>
            <w:r w:rsidRPr="006B0D33">
              <w:t>ome</w:t>
            </w:r>
          </w:p>
        </w:tc>
        <w:tc>
          <w:tcPr>
            <w:tcW w:w="851" w:type="dxa"/>
          </w:tcPr>
          <w:p w:rsidR="006B0D33" w:rsidRPr="006B0D33" w:rsidRDefault="006B0D33" w:rsidP="00501941">
            <w:pPr>
              <w:jc w:val="right"/>
            </w:pPr>
            <w:r w:rsidRPr="006B0D33">
              <w:t>52%</w:t>
            </w:r>
          </w:p>
        </w:tc>
      </w:tr>
      <w:tr w:rsidR="006B0D33" w:rsidRPr="006B0D33" w:rsidTr="006B0D33">
        <w:tc>
          <w:tcPr>
            <w:tcW w:w="7621" w:type="dxa"/>
          </w:tcPr>
          <w:p w:rsidR="006B0D33" w:rsidRPr="006B0D33" w:rsidRDefault="006B0D33" w:rsidP="006B0D33">
            <w:r w:rsidRPr="006B0D33">
              <w:t xml:space="preserve">Safe and </w:t>
            </w:r>
            <w:r>
              <w:t>s</w:t>
            </w:r>
            <w:r w:rsidRPr="006B0D33">
              <w:t xml:space="preserve">ecure </w:t>
            </w:r>
            <w:r>
              <w:t>h</w:t>
            </w:r>
            <w:r w:rsidRPr="006B0D33">
              <w:t>ome</w:t>
            </w:r>
          </w:p>
        </w:tc>
        <w:tc>
          <w:tcPr>
            <w:tcW w:w="851" w:type="dxa"/>
          </w:tcPr>
          <w:p w:rsidR="006B0D33" w:rsidRPr="006B0D33" w:rsidRDefault="006B0D33" w:rsidP="00501941">
            <w:pPr>
              <w:jc w:val="right"/>
            </w:pPr>
            <w:r w:rsidRPr="006B0D33">
              <w:t>58%</w:t>
            </w:r>
          </w:p>
        </w:tc>
      </w:tr>
      <w:tr w:rsidR="006B0D33" w:rsidRPr="006B0D33" w:rsidTr="006B0D33">
        <w:tc>
          <w:tcPr>
            <w:tcW w:w="7621" w:type="dxa"/>
          </w:tcPr>
          <w:p w:rsidR="006B0D33" w:rsidRPr="006B0D33" w:rsidRDefault="006B0D33" w:rsidP="006B0D33">
            <w:r w:rsidRPr="006B0D33">
              <w:t xml:space="preserve">Communal </w:t>
            </w:r>
            <w:r>
              <w:t>a</w:t>
            </w:r>
            <w:r w:rsidRPr="006B0D33">
              <w:t xml:space="preserve">reas </w:t>
            </w:r>
            <w:r>
              <w:t>s</w:t>
            </w:r>
            <w:r w:rsidRPr="006B0D33">
              <w:t xml:space="preserve">afe and </w:t>
            </w:r>
            <w:r>
              <w:t>c</w:t>
            </w:r>
            <w:r w:rsidRPr="006B0D33">
              <w:t>lean</w:t>
            </w:r>
          </w:p>
        </w:tc>
        <w:tc>
          <w:tcPr>
            <w:tcW w:w="851" w:type="dxa"/>
          </w:tcPr>
          <w:p w:rsidR="006B0D33" w:rsidRPr="006B0D33" w:rsidRDefault="006B0D33" w:rsidP="00501941">
            <w:pPr>
              <w:jc w:val="right"/>
            </w:pPr>
            <w:r w:rsidRPr="006B0D33">
              <w:t>42%</w:t>
            </w:r>
          </w:p>
        </w:tc>
      </w:tr>
      <w:tr w:rsidR="006B0D33" w:rsidRPr="006B0D33" w:rsidTr="006B0D33">
        <w:tc>
          <w:tcPr>
            <w:tcW w:w="7621" w:type="dxa"/>
          </w:tcPr>
          <w:p w:rsidR="006B0D33" w:rsidRPr="006B0D33" w:rsidRDefault="006B0D33" w:rsidP="006B0D33">
            <w:r w:rsidRPr="006B0D33">
              <w:t xml:space="preserve">Value for </w:t>
            </w:r>
            <w:r>
              <w:t>m</w:t>
            </w:r>
            <w:r w:rsidRPr="006B0D33">
              <w:t>oney (</w:t>
            </w:r>
            <w:r>
              <w:t>r</w:t>
            </w:r>
            <w:r w:rsidRPr="006B0D33">
              <w:t>ent)</w:t>
            </w:r>
          </w:p>
        </w:tc>
        <w:tc>
          <w:tcPr>
            <w:tcW w:w="851" w:type="dxa"/>
          </w:tcPr>
          <w:p w:rsidR="006B0D33" w:rsidRPr="006B0D33" w:rsidRDefault="006B0D33" w:rsidP="00501941">
            <w:pPr>
              <w:jc w:val="right"/>
            </w:pPr>
            <w:r w:rsidRPr="006B0D33">
              <w:t>64%</w:t>
            </w:r>
          </w:p>
        </w:tc>
      </w:tr>
      <w:tr w:rsidR="006B0D33" w:rsidRPr="006B0D33" w:rsidTr="006B0D33">
        <w:tc>
          <w:tcPr>
            <w:tcW w:w="7621" w:type="dxa"/>
          </w:tcPr>
          <w:p w:rsidR="006B0D33" w:rsidRPr="006B0D33" w:rsidRDefault="006B0D33" w:rsidP="006B0D33">
            <w:r>
              <w:t>Value for money (service c</w:t>
            </w:r>
            <w:r w:rsidRPr="006B0D33">
              <w:t>harges)</w:t>
            </w:r>
          </w:p>
        </w:tc>
        <w:tc>
          <w:tcPr>
            <w:tcW w:w="851" w:type="dxa"/>
          </w:tcPr>
          <w:p w:rsidR="006B0D33" w:rsidRPr="006B0D33" w:rsidRDefault="006B0D33" w:rsidP="00501941">
            <w:pPr>
              <w:jc w:val="right"/>
            </w:pPr>
            <w:r w:rsidRPr="006B0D33">
              <w:t>22%</w:t>
            </w:r>
          </w:p>
        </w:tc>
      </w:tr>
      <w:tr w:rsidR="006B0D33" w:rsidRPr="006B0D33" w:rsidTr="006B0D33">
        <w:tc>
          <w:tcPr>
            <w:tcW w:w="7621" w:type="dxa"/>
          </w:tcPr>
          <w:p w:rsidR="006B0D33" w:rsidRPr="006B0D33" w:rsidRDefault="006B0D33" w:rsidP="006B0D33">
            <w:r>
              <w:t>Neighbourhood as a place to l</w:t>
            </w:r>
            <w:r w:rsidRPr="006B0D33">
              <w:t>ive</w:t>
            </w:r>
          </w:p>
        </w:tc>
        <w:tc>
          <w:tcPr>
            <w:tcW w:w="851" w:type="dxa"/>
          </w:tcPr>
          <w:p w:rsidR="006B0D33" w:rsidRPr="006B0D33" w:rsidRDefault="006B0D33" w:rsidP="00501941">
            <w:pPr>
              <w:jc w:val="right"/>
            </w:pPr>
            <w:r w:rsidRPr="006B0D33">
              <w:t>58%</w:t>
            </w:r>
          </w:p>
        </w:tc>
      </w:tr>
      <w:tr w:rsidR="006B0D33" w:rsidRPr="006B0D33" w:rsidTr="006B0D33">
        <w:tc>
          <w:tcPr>
            <w:tcW w:w="7621" w:type="dxa"/>
          </w:tcPr>
          <w:p w:rsidR="006B0D33" w:rsidRPr="006B0D33" w:rsidRDefault="006B0D33" w:rsidP="006B0D33">
            <w:r>
              <w:t>Overall appearance of the n</w:t>
            </w:r>
            <w:r w:rsidRPr="006B0D33">
              <w:t>eighbourhood</w:t>
            </w:r>
          </w:p>
        </w:tc>
        <w:tc>
          <w:tcPr>
            <w:tcW w:w="851" w:type="dxa"/>
          </w:tcPr>
          <w:p w:rsidR="006B0D33" w:rsidRPr="006B0D33" w:rsidRDefault="006B0D33" w:rsidP="00501941">
            <w:pPr>
              <w:jc w:val="right"/>
            </w:pPr>
            <w:r w:rsidRPr="006B0D33">
              <w:t>39%</w:t>
            </w:r>
          </w:p>
        </w:tc>
      </w:tr>
      <w:tr w:rsidR="006B0D33" w:rsidRPr="006B0D33" w:rsidTr="006B0D33">
        <w:tc>
          <w:tcPr>
            <w:tcW w:w="7621" w:type="dxa"/>
          </w:tcPr>
          <w:p w:rsidR="006B0D33" w:rsidRPr="006B0D33" w:rsidRDefault="006B0D33" w:rsidP="00501941">
            <w:r>
              <w:t>Overall repairs and m</w:t>
            </w:r>
            <w:r w:rsidRPr="006B0D33">
              <w:t xml:space="preserve">aintenance </w:t>
            </w:r>
            <w:r>
              <w:t>s</w:t>
            </w:r>
            <w:r w:rsidRPr="006B0D33">
              <w:t>ervice</w:t>
            </w:r>
          </w:p>
        </w:tc>
        <w:tc>
          <w:tcPr>
            <w:tcW w:w="851" w:type="dxa"/>
          </w:tcPr>
          <w:p w:rsidR="006B0D33" w:rsidRPr="006B0D33" w:rsidRDefault="006B0D33" w:rsidP="00501941">
            <w:pPr>
              <w:jc w:val="right"/>
            </w:pPr>
            <w:r w:rsidRPr="006B0D33">
              <w:t>34%</w:t>
            </w:r>
          </w:p>
        </w:tc>
      </w:tr>
      <w:tr w:rsidR="006B0D33" w:rsidRPr="006B0D33" w:rsidTr="006B0D33">
        <w:tc>
          <w:tcPr>
            <w:tcW w:w="7621" w:type="dxa"/>
          </w:tcPr>
          <w:p w:rsidR="006B0D33" w:rsidRPr="006B0D33" w:rsidRDefault="006B0D33" w:rsidP="006B0D33">
            <w:r w:rsidRPr="006B0D33">
              <w:t xml:space="preserve">Repairs </w:t>
            </w:r>
            <w:r w:rsidR="00501941">
              <w:t>r</w:t>
            </w:r>
            <w:r w:rsidRPr="006B0D33">
              <w:t xml:space="preserve">ight </w:t>
            </w:r>
            <w:r w:rsidR="00501941">
              <w:t>first t</w:t>
            </w:r>
            <w:r w:rsidRPr="006B0D33">
              <w:t>ime</w:t>
            </w:r>
          </w:p>
        </w:tc>
        <w:tc>
          <w:tcPr>
            <w:tcW w:w="851" w:type="dxa"/>
          </w:tcPr>
          <w:p w:rsidR="006B0D33" w:rsidRPr="006B0D33" w:rsidRDefault="006B0D33" w:rsidP="00501941">
            <w:pPr>
              <w:jc w:val="right"/>
            </w:pPr>
            <w:r w:rsidRPr="006B0D33">
              <w:t>31%</w:t>
            </w:r>
          </w:p>
        </w:tc>
      </w:tr>
      <w:tr w:rsidR="006B0D33" w:rsidRPr="006B0D33" w:rsidTr="006B0D33">
        <w:tc>
          <w:tcPr>
            <w:tcW w:w="7621" w:type="dxa"/>
          </w:tcPr>
          <w:p w:rsidR="006B0D33" w:rsidRPr="006B0D33" w:rsidRDefault="00501941" w:rsidP="006B0D33">
            <w:r>
              <w:t>Last repair carried o</w:t>
            </w:r>
            <w:r w:rsidR="006B0D33" w:rsidRPr="006B0D33">
              <w:t>ut</w:t>
            </w:r>
          </w:p>
        </w:tc>
        <w:tc>
          <w:tcPr>
            <w:tcW w:w="851" w:type="dxa"/>
          </w:tcPr>
          <w:p w:rsidR="006B0D33" w:rsidRPr="006B0D33" w:rsidRDefault="006B0D33" w:rsidP="00501941">
            <w:pPr>
              <w:jc w:val="right"/>
            </w:pPr>
            <w:r w:rsidRPr="006B0D33">
              <w:t>37%</w:t>
            </w:r>
          </w:p>
        </w:tc>
      </w:tr>
      <w:tr w:rsidR="006B0D33" w:rsidRPr="006B0D33" w:rsidTr="006B0D33">
        <w:tc>
          <w:tcPr>
            <w:tcW w:w="7621" w:type="dxa"/>
          </w:tcPr>
          <w:p w:rsidR="006B0D33" w:rsidRPr="006B0D33" w:rsidRDefault="00501941" w:rsidP="006B0D33">
            <w:r>
              <w:t>OCC is easy to d</w:t>
            </w:r>
            <w:r w:rsidR="006B0D33" w:rsidRPr="006B0D33">
              <w:t>eal</w:t>
            </w:r>
            <w:r>
              <w:t xml:space="preserve"> with</w:t>
            </w:r>
          </w:p>
        </w:tc>
        <w:tc>
          <w:tcPr>
            <w:tcW w:w="851" w:type="dxa"/>
          </w:tcPr>
          <w:p w:rsidR="006B0D33" w:rsidRPr="006B0D33" w:rsidRDefault="006B0D33" w:rsidP="00501941">
            <w:pPr>
              <w:jc w:val="right"/>
            </w:pPr>
            <w:r w:rsidRPr="006B0D33">
              <w:t>35%</w:t>
            </w:r>
          </w:p>
        </w:tc>
      </w:tr>
      <w:tr w:rsidR="006B0D33" w:rsidRPr="006B0D33" w:rsidTr="006B0D33">
        <w:tc>
          <w:tcPr>
            <w:tcW w:w="7621" w:type="dxa"/>
          </w:tcPr>
          <w:p w:rsidR="006B0D33" w:rsidRPr="006B0D33" w:rsidRDefault="006B0D33" w:rsidP="00501941">
            <w:r w:rsidRPr="006B0D33">
              <w:t xml:space="preserve">Customer </w:t>
            </w:r>
            <w:r w:rsidR="00501941">
              <w:t>s</w:t>
            </w:r>
            <w:r w:rsidRPr="006B0D33">
              <w:t xml:space="preserve">ervice </w:t>
            </w:r>
            <w:r w:rsidR="00501941">
              <w:t>t</w:t>
            </w:r>
            <w:r w:rsidRPr="006B0D33">
              <w:t xml:space="preserve">hey </w:t>
            </w:r>
            <w:r w:rsidR="00501941">
              <w:t>r</w:t>
            </w:r>
            <w:r w:rsidRPr="006B0D33">
              <w:t>eceive</w:t>
            </w:r>
          </w:p>
        </w:tc>
        <w:tc>
          <w:tcPr>
            <w:tcW w:w="851" w:type="dxa"/>
          </w:tcPr>
          <w:p w:rsidR="006B0D33" w:rsidRPr="006B0D33" w:rsidRDefault="006B0D33" w:rsidP="00501941">
            <w:pPr>
              <w:jc w:val="right"/>
            </w:pPr>
            <w:r w:rsidRPr="006B0D33">
              <w:t>43%</w:t>
            </w:r>
          </w:p>
        </w:tc>
      </w:tr>
      <w:tr w:rsidR="006B0D33" w:rsidRPr="006B0D33" w:rsidTr="006B0D33">
        <w:tc>
          <w:tcPr>
            <w:tcW w:w="7621" w:type="dxa"/>
          </w:tcPr>
          <w:p w:rsidR="006B0D33" w:rsidRPr="006B0D33" w:rsidRDefault="006B0D33" w:rsidP="006B0D33">
            <w:r w:rsidRPr="006B0D33">
              <w:t>Being kept informed about things that might affect them</w:t>
            </w:r>
          </w:p>
        </w:tc>
        <w:tc>
          <w:tcPr>
            <w:tcW w:w="851" w:type="dxa"/>
          </w:tcPr>
          <w:p w:rsidR="006B0D33" w:rsidRPr="006B0D33" w:rsidRDefault="006B0D33" w:rsidP="00501941">
            <w:pPr>
              <w:jc w:val="right"/>
            </w:pPr>
            <w:r w:rsidRPr="006B0D33">
              <w:t>53%</w:t>
            </w:r>
          </w:p>
        </w:tc>
      </w:tr>
      <w:tr w:rsidR="006B0D33" w:rsidRPr="006B0D33" w:rsidTr="006B0D33">
        <w:tc>
          <w:tcPr>
            <w:tcW w:w="7621" w:type="dxa"/>
          </w:tcPr>
          <w:p w:rsidR="006B0D33" w:rsidRPr="006B0D33" w:rsidRDefault="006B0D33" w:rsidP="006B0D33">
            <w:r w:rsidRPr="006B0D33">
              <w:t>Having a say in how services are managed</w:t>
            </w:r>
          </w:p>
        </w:tc>
        <w:tc>
          <w:tcPr>
            <w:tcW w:w="851" w:type="dxa"/>
          </w:tcPr>
          <w:p w:rsidR="006B0D33" w:rsidRPr="006B0D33" w:rsidRDefault="006B0D33" w:rsidP="00501941">
            <w:pPr>
              <w:jc w:val="right"/>
            </w:pPr>
            <w:r w:rsidRPr="006B0D33">
              <w:t>33%</w:t>
            </w:r>
          </w:p>
        </w:tc>
      </w:tr>
      <w:tr w:rsidR="006B0D33" w:rsidRPr="006B0D33" w:rsidTr="006B0D33">
        <w:tc>
          <w:tcPr>
            <w:tcW w:w="7621" w:type="dxa"/>
          </w:tcPr>
          <w:p w:rsidR="006B0D33" w:rsidRPr="006B0D33" w:rsidRDefault="006B0D33" w:rsidP="006B0D33">
            <w:r w:rsidRPr="006B0D33">
              <w:t>Tenants views being listened to and acted upon</w:t>
            </w:r>
          </w:p>
        </w:tc>
        <w:tc>
          <w:tcPr>
            <w:tcW w:w="851" w:type="dxa"/>
          </w:tcPr>
          <w:p w:rsidR="006B0D33" w:rsidRPr="006B0D33" w:rsidRDefault="006B0D33" w:rsidP="00501941">
            <w:pPr>
              <w:jc w:val="right"/>
            </w:pPr>
            <w:r w:rsidRPr="006B0D33">
              <w:t>24%</w:t>
            </w:r>
          </w:p>
        </w:tc>
      </w:tr>
      <w:tr w:rsidR="006B0D33" w:rsidRPr="006B0D33" w:rsidTr="006B0D33">
        <w:tc>
          <w:tcPr>
            <w:tcW w:w="7621" w:type="dxa"/>
          </w:tcPr>
          <w:p w:rsidR="006B0D33" w:rsidRPr="006B0D33" w:rsidRDefault="006B0D33" w:rsidP="006B0D33">
            <w:r w:rsidRPr="006B0D33">
              <w:t>Support received when dealing with ASB case</w:t>
            </w:r>
          </w:p>
        </w:tc>
        <w:tc>
          <w:tcPr>
            <w:tcW w:w="851" w:type="dxa"/>
          </w:tcPr>
          <w:p w:rsidR="006B0D33" w:rsidRPr="006B0D33" w:rsidRDefault="006B0D33" w:rsidP="00501941">
            <w:pPr>
              <w:jc w:val="right"/>
            </w:pPr>
            <w:r w:rsidRPr="006B0D33">
              <w:t>24%</w:t>
            </w:r>
          </w:p>
        </w:tc>
      </w:tr>
      <w:tr w:rsidR="006B0D33" w:rsidRPr="006B0D33" w:rsidTr="006B0D33">
        <w:tc>
          <w:tcPr>
            <w:tcW w:w="7621" w:type="dxa"/>
          </w:tcPr>
          <w:p w:rsidR="006B0D33" w:rsidRPr="006B0D33" w:rsidRDefault="006B0D33" w:rsidP="006B0D33">
            <w:r w:rsidRPr="006B0D33">
              <w:t>Speed of the ASB case</w:t>
            </w:r>
          </w:p>
        </w:tc>
        <w:tc>
          <w:tcPr>
            <w:tcW w:w="851" w:type="dxa"/>
          </w:tcPr>
          <w:p w:rsidR="006B0D33" w:rsidRPr="006B0D33" w:rsidRDefault="006B0D33" w:rsidP="00501941">
            <w:pPr>
              <w:jc w:val="right"/>
            </w:pPr>
            <w:r w:rsidRPr="006B0D33">
              <w:t>18%</w:t>
            </w:r>
          </w:p>
        </w:tc>
      </w:tr>
      <w:tr w:rsidR="006B0D33" w:rsidRPr="006B0D33" w:rsidTr="006B0D33">
        <w:tc>
          <w:tcPr>
            <w:tcW w:w="7621" w:type="dxa"/>
          </w:tcPr>
          <w:p w:rsidR="006B0D33" w:rsidRPr="006B0D33" w:rsidRDefault="006B0D33" w:rsidP="00501941">
            <w:r w:rsidRPr="006B0D33">
              <w:t xml:space="preserve">Final </w:t>
            </w:r>
            <w:r w:rsidR="00501941">
              <w:t>o</w:t>
            </w:r>
            <w:r w:rsidRPr="006B0D33">
              <w:t>utcome of the ASB case</w:t>
            </w:r>
          </w:p>
        </w:tc>
        <w:tc>
          <w:tcPr>
            <w:tcW w:w="851" w:type="dxa"/>
          </w:tcPr>
          <w:p w:rsidR="006B0D33" w:rsidRPr="006B0D33" w:rsidRDefault="006B0D33" w:rsidP="00501941">
            <w:pPr>
              <w:jc w:val="right"/>
            </w:pPr>
            <w:r w:rsidRPr="006B0D33">
              <w:t>23%</w:t>
            </w:r>
          </w:p>
        </w:tc>
      </w:tr>
      <w:tr w:rsidR="006B0D33" w:rsidRPr="006B0D33" w:rsidTr="006B0D33">
        <w:tc>
          <w:tcPr>
            <w:tcW w:w="7621" w:type="dxa"/>
          </w:tcPr>
          <w:p w:rsidR="006B0D33" w:rsidRPr="006B0D33" w:rsidRDefault="006B0D33" w:rsidP="006B0D33">
            <w:r w:rsidRPr="006B0D33">
              <w:t>The way a complaint was handled</w:t>
            </w:r>
          </w:p>
        </w:tc>
        <w:tc>
          <w:tcPr>
            <w:tcW w:w="851" w:type="dxa"/>
          </w:tcPr>
          <w:p w:rsidR="006B0D33" w:rsidRPr="006B0D33" w:rsidRDefault="006B0D33" w:rsidP="00501941">
            <w:pPr>
              <w:jc w:val="right"/>
            </w:pPr>
            <w:r w:rsidRPr="006B0D33">
              <w:t>23%</w:t>
            </w:r>
          </w:p>
        </w:tc>
      </w:tr>
      <w:tr w:rsidR="006B0D33" w:rsidRPr="006B0D33" w:rsidTr="006B0D33">
        <w:tc>
          <w:tcPr>
            <w:tcW w:w="7621" w:type="dxa"/>
          </w:tcPr>
          <w:p w:rsidR="006B0D33" w:rsidRPr="006B0D33" w:rsidRDefault="006B0D33" w:rsidP="006B0D33">
            <w:r w:rsidRPr="006B0D33">
              <w:t>The final outcome of a complaint</w:t>
            </w:r>
          </w:p>
        </w:tc>
        <w:tc>
          <w:tcPr>
            <w:tcW w:w="851" w:type="dxa"/>
          </w:tcPr>
          <w:p w:rsidR="006B0D33" w:rsidRPr="006B0D33" w:rsidRDefault="006B0D33" w:rsidP="00501941">
            <w:pPr>
              <w:jc w:val="right"/>
            </w:pPr>
            <w:r w:rsidRPr="006B0D33">
              <w:t>23%</w:t>
            </w:r>
          </w:p>
        </w:tc>
      </w:tr>
    </w:tbl>
    <w:p w:rsidR="006B0D33" w:rsidRPr="006B0D33" w:rsidRDefault="006B0D33" w:rsidP="006B0D33"/>
    <w:tbl>
      <w:tblPr>
        <w:tblStyle w:val="TableGrid"/>
        <w:tblW w:w="0" w:type="auto"/>
        <w:tblLook w:val="04A0" w:firstRow="1" w:lastRow="0" w:firstColumn="1" w:lastColumn="0" w:noHBand="0" w:noVBand="1"/>
      </w:tblPr>
      <w:tblGrid>
        <w:gridCol w:w="3002"/>
        <w:gridCol w:w="3008"/>
        <w:gridCol w:w="3006"/>
      </w:tblGrid>
      <w:tr w:rsidR="006B0D33" w:rsidRPr="006B0D33" w:rsidTr="006B0D33">
        <w:tc>
          <w:tcPr>
            <w:tcW w:w="9016" w:type="dxa"/>
            <w:gridSpan w:val="3"/>
          </w:tcPr>
          <w:p w:rsidR="006B0D33" w:rsidRPr="00501941" w:rsidRDefault="006B0D33" w:rsidP="00501941">
            <w:pPr>
              <w:rPr>
                <w:b/>
              </w:rPr>
            </w:pPr>
            <w:r w:rsidRPr="00501941">
              <w:rPr>
                <w:b/>
              </w:rPr>
              <w:t xml:space="preserve">Perception of </w:t>
            </w:r>
            <w:r w:rsidR="00501941" w:rsidRPr="00501941">
              <w:rPr>
                <w:b/>
              </w:rPr>
              <w:t>n</w:t>
            </w:r>
            <w:r w:rsidRPr="00501941">
              <w:rPr>
                <w:b/>
              </w:rPr>
              <w:t>eighbourhood over the last three years</w:t>
            </w:r>
          </w:p>
        </w:tc>
      </w:tr>
      <w:tr w:rsidR="006B0D33" w:rsidRPr="006B0D33" w:rsidTr="006B0D33">
        <w:tc>
          <w:tcPr>
            <w:tcW w:w="3002" w:type="dxa"/>
          </w:tcPr>
          <w:p w:rsidR="006B0D33" w:rsidRPr="006B0D33" w:rsidRDefault="006B0D33" w:rsidP="00501941">
            <w:pPr>
              <w:jc w:val="center"/>
            </w:pPr>
            <w:r w:rsidRPr="006B0D33">
              <w:t xml:space="preserve">Got </w:t>
            </w:r>
            <w:r w:rsidR="00501941">
              <w:t>b</w:t>
            </w:r>
            <w:r w:rsidRPr="006B0D33">
              <w:t>etter</w:t>
            </w:r>
          </w:p>
        </w:tc>
        <w:tc>
          <w:tcPr>
            <w:tcW w:w="3008" w:type="dxa"/>
          </w:tcPr>
          <w:p w:rsidR="006B0D33" w:rsidRPr="006B0D33" w:rsidRDefault="006B0D33" w:rsidP="00501941">
            <w:pPr>
              <w:jc w:val="center"/>
            </w:pPr>
            <w:r w:rsidRPr="006B0D33">
              <w:t xml:space="preserve">Stayed the </w:t>
            </w:r>
            <w:r w:rsidR="00501941">
              <w:t>s</w:t>
            </w:r>
            <w:r w:rsidRPr="006B0D33">
              <w:t>ame</w:t>
            </w:r>
          </w:p>
        </w:tc>
        <w:tc>
          <w:tcPr>
            <w:tcW w:w="3006" w:type="dxa"/>
          </w:tcPr>
          <w:p w:rsidR="006B0D33" w:rsidRPr="006B0D33" w:rsidRDefault="006B0D33" w:rsidP="00501941">
            <w:pPr>
              <w:jc w:val="center"/>
            </w:pPr>
            <w:r w:rsidRPr="006B0D33">
              <w:t xml:space="preserve">Got </w:t>
            </w:r>
            <w:r w:rsidR="00501941">
              <w:t>w</w:t>
            </w:r>
            <w:r w:rsidRPr="006B0D33">
              <w:t>orse</w:t>
            </w:r>
          </w:p>
        </w:tc>
      </w:tr>
      <w:tr w:rsidR="006B0D33" w:rsidRPr="006B0D33" w:rsidTr="006B0D33">
        <w:tc>
          <w:tcPr>
            <w:tcW w:w="3002" w:type="dxa"/>
          </w:tcPr>
          <w:p w:rsidR="006B0D33" w:rsidRPr="006B0D33" w:rsidRDefault="006B0D33" w:rsidP="006B0D33">
            <w:pPr>
              <w:jc w:val="center"/>
            </w:pPr>
            <w:r w:rsidRPr="006B0D33">
              <w:t>14%</w:t>
            </w:r>
          </w:p>
        </w:tc>
        <w:tc>
          <w:tcPr>
            <w:tcW w:w="3008" w:type="dxa"/>
          </w:tcPr>
          <w:p w:rsidR="006B0D33" w:rsidRPr="006B0D33" w:rsidRDefault="006B0D33" w:rsidP="006B0D33">
            <w:pPr>
              <w:jc w:val="center"/>
            </w:pPr>
            <w:r w:rsidRPr="006B0D33">
              <w:t>56%</w:t>
            </w:r>
          </w:p>
        </w:tc>
        <w:tc>
          <w:tcPr>
            <w:tcW w:w="3006" w:type="dxa"/>
          </w:tcPr>
          <w:p w:rsidR="006B0D33" w:rsidRPr="006B0D33" w:rsidRDefault="006B0D33" w:rsidP="006B0D33">
            <w:pPr>
              <w:jc w:val="center"/>
            </w:pPr>
            <w:r w:rsidRPr="006B0D33">
              <w:t>30%</w:t>
            </w:r>
          </w:p>
        </w:tc>
      </w:tr>
    </w:tbl>
    <w:p w:rsidR="006B0D33" w:rsidRPr="006B0D33" w:rsidRDefault="006B0D33" w:rsidP="006B0D33">
      <w:pPr>
        <w:rPr>
          <w:b/>
        </w:rPr>
      </w:pPr>
    </w:p>
    <w:p w:rsidR="006B0D33" w:rsidRPr="006B0D33" w:rsidRDefault="006B0D33" w:rsidP="006B0D33">
      <w:pPr>
        <w:rPr>
          <w:b/>
        </w:rPr>
      </w:pPr>
      <w:r w:rsidRPr="006B0D33">
        <w:rPr>
          <w:b/>
        </w:rPr>
        <w:t>Perceptions</w:t>
      </w:r>
    </w:p>
    <w:p w:rsidR="006B0D33" w:rsidRPr="006B0D33" w:rsidRDefault="006B0D33" w:rsidP="006B0D33">
      <w:pPr>
        <w:rPr>
          <w:b/>
        </w:rPr>
      </w:pPr>
    </w:p>
    <w:tbl>
      <w:tblPr>
        <w:tblW w:w="9016" w:type="dxa"/>
        <w:tblLook w:val="04A0" w:firstRow="1" w:lastRow="0" w:firstColumn="1" w:lastColumn="0" w:noHBand="0" w:noVBand="1"/>
      </w:tblPr>
      <w:tblGrid>
        <w:gridCol w:w="5363"/>
        <w:gridCol w:w="1292"/>
        <w:gridCol w:w="1131"/>
        <w:gridCol w:w="1230"/>
      </w:tblGrid>
      <w:tr w:rsidR="006B0D33" w:rsidRPr="006B0D33" w:rsidTr="00501941">
        <w:trPr>
          <w:cantSplit/>
          <w:trHeight w:val="300"/>
          <w:tblHeader/>
        </w:trPr>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D33" w:rsidRPr="006B0D33" w:rsidRDefault="006B0D33" w:rsidP="006B0D33">
            <w:pPr>
              <w:rPr>
                <w:color w:val="000000"/>
              </w:rPr>
            </w:pPr>
            <w:r w:rsidRPr="006B0D33">
              <w:rPr>
                <w:color w:val="000000"/>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Agree</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Neither</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Disagree</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takes health and safety concerns seriously</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35</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38</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27</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tenants fairly</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32</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37</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is open and transparent</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26</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42</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cares about their customers</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24</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45</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has friendly and approachable staff</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25</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22</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keeps its promises</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47</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47</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feel valued by OCC</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26</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51</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me with respect</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31</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trust OCC</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45</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18</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45</w:t>
            </w:r>
            <w:r w:rsidR="00501941">
              <w:rPr>
                <w:color w:val="000000"/>
              </w:rPr>
              <w:t>%</w:t>
            </w:r>
          </w:p>
        </w:tc>
      </w:tr>
    </w:tbl>
    <w:p w:rsidR="006B0D33" w:rsidRPr="006B0D33" w:rsidRDefault="006B0D33" w:rsidP="006B0D33"/>
    <w:p w:rsidR="006B0D33" w:rsidRPr="006B0D33" w:rsidRDefault="006B0D33" w:rsidP="00E9659B"/>
    <w:p w:rsidR="00501941" w:rsidRDefault="00501941">
      <w:r>
        <w:br w:type="page"/>
      </w:r>
    </w:p>
    <w:p w:rsidR="00501941" w:rsidRDefault="00501941" w:rsidP="00501941">
      <w:pPr>
        <w:rPr>
          <w:b/>
        </w:rPr>
      </w:pPr>
      <w:r w:rsidRPr="00501941">
        <w:rPr>
          <w:b/>
        </w:rPr>
        <w:t xml:space="preserve">Appendix </w:t>
      </w:r>
      <w:r w:rsidR="0053413E">
        <w:rPr>
          <w:b/>
        </w:rPr>
        <w:t>C</w:t>
      </w:r>
      <w:r w:rsidRPr="00501941">
        <w:rPr>
          <w:b/>
        </w:rPr>
        <w:t xml:space="preserve"> </w:t>
      </w:r>
      <w:r w:rsidR="0053413E">
        <w:rPr>
          <w:b/>
        </w:rPr>
        <w:t>–</w:t>
      </w:r>
      <w:r>
        <w:t xml:space="preserve"> </w:t>
      </w:r>
      <w:r w:rsidRPr="006B0D33">
        <w:rPr>
          <w:b/>
        </w:rPr>
        <w:t xml:space="preserve">Resident </w:t>
      </w:r>
      <w:r>
        <w:rPr>
          <w:b/>
        </w:rPr>
        <w:t>s</w:t>
      </w:r>
      <w:r w:rsidRPr="006B0D33">
        <w:rPr>
          <w:b/>
        </w:rPr>
        <w:t xml:space="preserve">uggestions for </w:t>
      </w:r>
      <w:r>
        <w:rPr>
          <w:b/>
        </w:rPr>
        <w:t>i</w:t>
      </w:r>
      <w:r w:rsidRPr="006B0D33">
        <w:rPr>
          <w:b/>
        </w:rPr>
        <w:t>mprovement</w:t>
      </w:r>
    </w:p>
    <w:p w:rsidR="006D0287" w:rsidRDefault="006D0287"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6D0287" w:rsidRPr="000931A3" w:rsidTr="006005AB">
        <w:trPr>
          <w:trHeight w:val="300"/>
        </w:trPr>
        <w:tc>
          <w:tcPr>
            <w:tcW w:w="4940" w:type="dxa"/>
            <w:shd w:val="clear" w:color="auto" w:fill="95B3D7" w:themeFill="accent1" w:themeFillTint="99"/>
            <w:noWrap/>
            <w:hideMark/>
          </w:tcPr>
          <w:p w:rsidR="006D0287" w:rsidRPr="006D0287" w:rsidRDefault="006D0287" w:rsidP="006005AB">
            <w:pPr>
              <w:rPr>
                <w:rFonts w:ascii="Calibri" w:eastAsia="Times New Roman" w:hAnsi="Calibri" w:cs="Calibri"/>
                <w:b/>
                <w:color w:val="000000"/>
                <w:sz w:val="22"/>
                <w:szCs w:val="22"/>
                <w:lang w:eastAsia="en-GB"/>
              </w:rPr>
            </w:pPr>
            <w:r w:rsidRPr="006D0287">
              <w:rPr>
                <w:b/>
                <w:sz w:val="20"/>
                <w:szCs w:val="20"/>
              </w:rPr>
              <w:t xml:space="preserve">Positive comments </w:t>
            </w:r>
          </w:p>
        </w:tc>
        <w:tc>
          <w:tcPr>
            <w:tcW w:w="1434" w:type="dxa"/>
            <w:shd w:val="clear" w:color="auto" w:fill="95B3D7" w:themeFill="accent1" w:themeFillTint="99"/>
            <w:noWrap/>
            <w:hideMark/>
          </w:tcPr>
          <w:p w:rsidR="006D0287" w:rsidRPr="006D0287" w:rsidRDefault="006D0287" w:rsidP="006005AB">
            <w:pPr>
              <w:rPr>
                <w:rFonts w:ascii="Calibri" w:eastAsia="Times New Roman" w:hAnsi="Calibri" w:cs="Calibri"/>
                <w:b/>
                <w:color w:val="FFFFFF" w:themeColor="background1"/>
                <w:sz w:val="22"/>
                <w:szCs w:val="22"/>
                <w:lang w:eastAsia="en-GB"/>
              </w:rPr>
            </w:pPr>
            <w:r w:rsidRPr="006D0287">
              <w:rPr>
                <w:b/>
                <w:sz w:val="20"/>
                <w:szCs w:val="20"/>
              </w:rPr>
              <w:t xml:space="preserve">22% </w:t>
            </w:r>
            <w:r w:rsidRPr="000931A3">
              <w:rPr>
                <w:rFonts w:ascii="Calibri" w:eastAsia="Times New Roman" w:hAnsi="Calibri" w:cs="Calibri"/>
                <w:b/>
                <w:color w:val="000000"/>
                <w:sz w:val="22"/>
                <w:szCs w:val="22"/>
                <w:lang w:eastAsia="en-GB"/>
              </w:rPr>
              <w:t>of total</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Generally happy, no problems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278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Repairs service/workforce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26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Attitude of staff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25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Good communications and contactable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11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Good overall service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9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Happy living here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6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Settled, lived here a long time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5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Like my home (type, size, condition)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4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Neighbourhood/good location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4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Communal cleaning &amp; maintenance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3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Feel safe and secure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1 </w:t>
            </w:r>
          </w:p>
        </w:tc>
      </w:tr>
      <w:tr w:rsidR="006D0287" w:rsidRPr="000931A3" w:rsidTr="006005AB">
        <w:trPr>
          <w:trHeight w:val="300"/>
        </w:trPr>
        <w:tc>
          <w:tcPr>
            <w:tcW w:w="4940" w:type="dxa"/>
            <w:shd w:val="clear" w:color="auto" w:fill="auto"/>
            <w:noWrap/>
            <w:hideMark/>
          </w:tcPr>
          <w:p w:rsidR="006D0287" w:rsidRPr="000931A3" w:rsidRDefault="006D0287" w:rsidP="006005AB">
            <w:pPr>
              <w:rPr>
                <w:rFonts w:ascii="Calibri" w:eastAsia="Times New Roman" w:hAnsi="Calibri" w:cs="Calibri"/>
                <w:color w:val="000000"/>
                <w:sz w:val="22"/>
                <w:szCs w:val="22"/>
                <w:lang w:eastAsia="en-GB"/>
              </w:rPr>
            </w:pPr>
            <w:r>
              <w:rPr>
                <w:sz w:val="20"/>
                <w:szCs w:val="20"/>
              </w:rPr>
              <w:t xml:space="preserve">Good value for money </w:t>
            </w:r>
          </w:p>
        </w:tc>
        <w:tc>
          <w:tcPr>
            <w:tcW w:w="1434" w:type="dxa"/>
            <w:shd w:val="clear" w:color="auto" w:fill="auto"/>
            <w:noWrap/>
            <w:hideMark/>
          </w:tcPr>
          <w:p w:rsidR="006D0287" w:rsidRPr="000931A3" w:rsidRDefault="006D0287" w:rsidP="006005AB">
            <w:pPr>
              <w:jc w:val="right"/>
              <w:rPr>
                <w:rFonts w:ascii="Calibri" w:eastAsia="Times New Roman" w:hAnsi="Calibri" w:cs="Calibri"/>
                <w:color w:val="000000"/>
                <w:sz w:val="22"/>
                <w:szCs w:val="22"/>
                <w:lang w:eastAsia="en-GB"/>
              </w:rPr>
            </w:pPr>
            <w:r>
              <w:rPr>
                <w:sz w:val="20"/>
                <w:szCs w:val="20"/>
              </w:rPr>
              <w:t xml:space="preserve">1 </w:t>
            </w:r>
          </w:p>
        </w:tc>
      </w:tr>
    </w:tbl>
    <w:p w:rsidR="00501941" w:rsidRDefault="00501941"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vAlign w:val="bottom"/>
            <w:hideMark/>
          </w:tcPr>
          <w:p w:rsidR="000931A3" w:rsidRPr="000931A3" w:rsidRDefault="000931A3" w:rsidP="000931A3">
            <w:pPr>
              <w:rPr>
                <w:rFonts w:ascii="Calibri" w:eastAsia="Times New Roman" w:hAnsi="Calibri" w:cs="Calibri"/>
                <w:b/>
                <w:color w:val="000000"/>
                <w:sz w:val="22"/>
                <w:szCs w:val="22"/>
                <w:lang w:eastAsia="en-GB"/>
              </w:rPr>
            </w:pPr>
            <w:r w:rsidRPr="000931A3">
              <w:rPr>
                <w:rFonts w:ascii="Calibri" w:eastAsia="Times New Roman" w:hAnsi="Calibri" w:cs="Calibri"/>
                <w:b/>
                <w:color w:val="000000"/>
                <w:sz w:val="22"/>
                <w:szCs w:val="22"/>
                <w:lang w:eastAsia="en-GB"/>
              </w:rPr>
              <w:t>Day-to-day repairs</w:t>
            </w:r>
          </w:p>
        </w:tc>
        <w:tc>
          <w:tcPr>
            <w:tcW w:w="1434" w:type="dxa"/>
            <w:shd w:val="clear" w:color="auto" w:fill="95B3D7" w:themeFill="accent1" w:themeFillTint="99"/>
            <w:noWrap/>
            <w:vAlign w:val="bottom"/>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rFonts w:ascii="Calibri" w:eastAsia="Times New Roman" w:hAnsi="Calibri" w:cs="Calibri"/>
                <w:b/>
                <w:color w:val="000000"/>
                <w:sz w:val="22"/>
                <w:szCs w:val="22"/>
                <w:lang w:eastAsia="en-GB"/>
              </w:rPr>
              <w:t>20% of total</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Repairs service generally</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79</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Timescales to complete repairs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55</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Appointments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54</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Quality of work</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37</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Outstanding / forgotten repairs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28</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Communication about repair (before work started)</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14</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Quality checking</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Treatment of resident / home</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Ease of reporting repair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7</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Keep informed of repair progress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6</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Right first time</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6</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Repairs covered in service level</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6</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Contractor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5</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Internal communications (repairs)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Job details given to contractor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Replace not repair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Out of hours service</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w:t>
            </w:r>
          </w:p>
        </w:tc>
      </w:tr>
    </w:tbl>
    <w:p w:rsidR="006D0287" w:rsidRDefault="006D0287" w:rsidP="00501941">
      <w:pPr>
        <w:rPr>
          <w:b/>
        </w:rPr>
      </w:pPr>
    </w:p>
    <w:p w:rsidR="006D0287" w:rsidRDefault="006D0287">
      <w:pPr>
        <w:rPr>
          <w:b/>
        </w:rPr>
      </w:pPr>
      <w:r>
        <w:rPr>
          <w:b/>
        </w:rPr>
        <w:br w:type="page"/>
      </w:r>
    </w:p>
    <w:p w:rsidR="00361AEE" w:rsidRDefault="00361AEE"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Customer contact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11% 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Customer care, customer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Return call / email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Keep promises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Staff knowledge / turnover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Time taken to resolve enquiry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Resolving problems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Answering phones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Call handling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Contact information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Keep informed of progress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Complaints handling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Automated system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Internal communications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Opening hours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6D0287" w:rsidRDefault="006D0287"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Communications and information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10%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Communications (in general)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Listen carefully, take interest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Keep tenants up to date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More visits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Website and online services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Act on views and give feedback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Transparent in decision-making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Consult or inform before acting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Information on service standards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More events, meetings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Grounds maintenance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5%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Grounds maintenance generally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Grass cutting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Fences and gates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Bushes &amp; hedges - maintenance / weeding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8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Tree maintenance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Rubbish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Paths and driveways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Drainage/flooding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Flower beds - maintenance / weeding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Overgrown/neglected gardens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Landscaping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Removal of garden waste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6D0287" w:rsidRDefault="006D0287" w:rsidP="00501941">
      <w:pPr>
        <w:rPr>
          <w:b/>
        </w:rPr>
      </w:pPr>
    </w:p>
    <w:p w:rsidR="006D0287" w:rsidRDefault="006D0287">
      <w:pPr>
        <w:rPr>
          <w:b/>
        </w:rPr>
      </w:pPr>
      <w:r>
        <w:rPr>
          <w:b/>
        </w:rPr>
        <w:br w:type="page"/>
      </w:r>
    </w:p>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Neighbourhood problems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4%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Car parking, signage and garage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Anti-social behaviour (dealing with)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Drug related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Neighbours - noise, alcohol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8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Neighbours gardens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Litter, graffiti and vandalism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Pest/vermin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Noise from children, ball games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Dogs - noise or fouling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Property condition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4%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Damp / mould / condensation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Regular inspections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External property maintenance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Condition of the property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Condition of property at letting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Flooring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Insulation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Sound proofing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Pest/vermin control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6D0287" w:rsidRDefault="000931A3" w:rsidP="000931A3">
            <w:pPr>
              <w:rPr>
                <w:rFonts w:ascii="Calibri" w:eastAsia="Times New Roman" w:hAnsi="Calibri" w:cs="Calibri"/>
                <w:b/>
                <w:color w:val="000000"/>
                <w:sz w:val="22"/>
                <w:szCs w:val="22"/>
                <w:lang w:eastAsia="en-GB"/>
              </w:rPr>
            </w:pPr>
            <w:r w:rsidRPr="006D0287">
              <w:rPr>
                <w:b/>
                <w:sz w:val="20"/>
                <w:szCs w:val="20"/>
              </w:rPr>
              <w:t xml:space="preserve">Tenant services and management </w:t>
            </w:r>
          </w:p>
        </w:tc>
        <w:tc>
          <w:tcPr>
            <w:tcW w:w="1434" w:type="dxa"/>
            <w:shd w:val="clear" w:color="auto" w:fill="95B3D7" w:themeFill="accent1" w:themeFillTint="99"/>
            <w:noWrap/>
            <w:hideMark/>
          </w:tcPr>
          <w:p w:rsidR="000931A3" w:rsidRPr="006D0287" w:rsidRDefault="000931A3" w:rsidP="000931A3">
            <w:pPr>
              <w:rPr>
                <w:rFonts w:ascii="Calibri" w:eastAsia="Times New Roman" w:hAnsi="Calibri" w:cs="Calibri"/>
                <w:b/>
                <w:color w:val="FFFFFF" w:themeColor="background1"/>
                <w:sz w:val="22"/>
                <w:szCs w:val="22"/>
                <w:lang w:eastAsia="en-GB"/>
              </w:rPr>
            </w:pPr>
            <w:r w:rsidRPr="006D0287">
              <w:rPr>
                <w:b/>
                <w:sz w:val="20"/>
                <w:szCs w:val="20"/>
              </w:rPr>
              <w:t xml:space="preserve">3%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Help for older residents/health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Value for money (rent/service charge)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Move, transfer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8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Decorating /handyman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Financial difficulties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Enforcement of tenancy agreement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Warden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Purchase property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Overcrowding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Rent issues, arrears, HB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Home improvements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3%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General home improvements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Property adaptations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New kitchen, bathroom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New doors or windows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Heating system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bl>
    <w:p w:rsidR="006D0287" w:rsidRDefault="006D0287" w:rsidP="00501941">
      <w:pPr>
        <w:rPr>
          <w:b/>
        </w:rPr>
      </w:pPr>
    </w:p>
    <w:p w:rsidR="006D0287" w:rsidRDefault="006D0287">
      <w:pPr>
        <w:rPr>
          <w:b/>
        </w:rPr>
      </w:pPr>
      <w:r>
        <w:rPr>
          <w:b/>
        </w:rPr>
        <w:br w:type="page"/>
      </w:r>
    </w:p>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Safety and security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2%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Health &amp; safety (general)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Security measures (general)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CCTV/cameras needed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Fire alarm information or testing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Lighting (car park, communal)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People on site not residents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 not feel safe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Door or window security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Door security in communal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Property theft (parcels)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Asbestos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281E5D" w:rsidRDefault="000931A3" w:rsidP="000931A3">
            <w:pPr>
              <w:rPr>
                <w:rFonts w:ascii="Calibri" w:eastAsia="Times New Roman" w:hAnsi="Calibri" w:cs="Calibri"/>
                <w:b/>
                <w:color w:val="000000"/>
                <w:sz w:val="22"/>
                <w:szCs w:val="22"/>
                <w:lang w:eastAsia="en-GB"/>
              </w:rPr>
            </w:pPr>
            <w:r w:rsidRPr="00281E5D">
              <w:rPr>
                <w:b/>
                <w:sz w:val="20"/>
                <w:szCs w:val="20"/>
              </w:rPr>
              <w:t xml:space="preserve">Communal areas </w:t>
            </w:r>
          </w:p>
        </w:tc>
        <w:tc>
          <w:tcPr>
            <w:tcW w:w="1434" w:type="dxa"/>
            <w:shd w:val="clear" w:color="auto" w:fill="95B3D7" w:themeFill="accent1" w:themeFillTint="99"/>
            <w:noWrap/>
            <w:hideMark/>
          </w:tcPr>
          <w:p w:rsidR="000931A3" w:rsidRPr="00281E5D" w:rsidRDefault="000931A3" w:rsidP="000931A3">
            <w:pPr>
              <w:rPr>
                <w:rFonts w:ascii="Calibri" w:eastAsia="Times New Roman" w:hAnsi="Calibri" w:cs="Calibri"/>
                <w:b/>
                <w:color w:val="FFFFFF" w:themeColor="background1"/>
                <w:sz w:val="22"/>
                <w:szCs w:val="22"/>
                <w:lang w:eastAsia="en-GB"/>
              </w:rPr>
            </w:pPr>
            <w:r w:rsidRPr="00281E5D">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Rubbish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Frequency of cleaning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Rubbish storage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Maintenance of communal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Storage areas - mobility scooter, bikes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Lifts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Caretaker customer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983C60">
        <w:trPr>
          <w:trHeight w:val="300"/>
        </w:trPr>
        <w:tc>
          <w:tcPr>
            <w:tcW w:w="4940" w:type="dxa"/>
            <w:shd w:val="clear" w:color="auto" w:fill="95B3D7" w:themeFill="accent1" w:themeFillTint="99"/>
            <w:noWrap/>
            <w:hideMark/>
          </w:tcPr>
          <w:p w:rsidR="00281E5D" w:rsidRPr="00281E5D" w:rsidRDefault="00281E5D" w:rsidP="00281E5D">
            <w:pPr>
              <w:rPr>
                <w:rFonts w:ascii="Calibri" w:eastAsia="Times New Roman" w:hAnsi="Calibri" w:cs="Calibri"/>
                <w:b/>
                <w:color w:val="000000"/>
                <w:sz w:val="22"/>
                <w:szCs w:val="22"/>
                <w:lang w:eastAsia="en-GB"/>
              </w:rPr>
            </w:pPr>
            <w:r w:rsidRPr="00281E5D">
              <w:rPr>
                <w:b/>
                <w:sz w:val="20"/>
                <w:szCs w:val="20"/>
              </w:rPr>
              <w:t xml:space="preserve">Council, other agencies </w:t>
            </w:r>
          </w:p>
        </w:tc>
        <w:tc>
          <w:tcPr>
            <w:tcW w:w="1434" w:type="dxa"/>
            <w:shd w:val="clear" w:color="auto" w:fill="95B3D7" w:themeFill="accent1" w:themeFillTint="99"/>
            <w:noWrap/>
            <w:hideMark/>
          </w:tcPr>
          <w:p w:rsidR="00281E5D" w:rsidRPr="00281E5D" w:rsidRDefault="00281E5D" w:rsidP="00281E5D">
            <w:pPr>
              <w:rPr>
                <w:rFonts w:ascii="Calibri" w:eastAsia="Times New Roman" w:hAnsi="Calibri" w:cs="Calibri"/>
                <w:b/>
                <w:color w:val="FFFFFF" w:themeColor="background1"/>
                <w:sz w:val="22"/>
                <w:szCs w:val="22"/>
                <w:lang w:eastAsia="en-GB"/>
              </w:rPr>
            </w:pPr>
            <w:r w:rsidRPr="00281E5D">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281E5D" w:rsidRPr="000931A3" w:rsidTr="00983C60">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Council refuse collection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8 </w:t>
            </w:r>
          </w:p>
        </w:tc>
      </w:tr>
      <w:tr w:rsidR="00281E5D" w:rsidRPr="000931A3" w:rsidTr="00983C60">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Fly-tipping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4 </w:t>
            </w:r>
          </w:p>
        </w:tc>
      </w:tr>
      <w:tr w:rsidR="00281E5D" w:rsidRPr="000931A3" w:rsidTr="00983C60">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Road repairs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3 </w:t>
            </w:r>
          </w:p>
        </w:tc>
      </w:tr>
      <w:tr w:rsidR="00281E5D" w:rsidRPr="000931A3" w:rsidTr="00983C60">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Traffic - speed or noise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3 </w:t>
            </w:r>
          </w:p>
        </w:tc>
      </w:tr>
      <w:tr w:rsidR="00281E5D" w:rsidRPr="000931A3" w:rsidTr="00983C60">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Lighting, street lighting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bl>
    <w:p w:rsidR="00896BB8" w:rsidRDefault="00896BB8"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B36BEE">
        <w:trPr>
          <w:trHeight w:val="300"/>
        </w:trPr>
        <w:tc>
          <w:tcPr>
            <w:tcW w:w="4940" w:type="dxa"/>
            <w:shd w:val="clear" w:color="auto" w:fill="95B3D7" w:themeFill="accent1" w:themeFillTint="99"/>
            <w:noWrap/>
            <w:hideMark/>
          </w:tcPr>
          <w:p w:rsidR="00281E5D" w:rsidRPr="006D0287" w:rsidRDefault="00281E5D" w:rsidP="00281E5D">
            <w:pPr>
              <w:rPr>
                <w:rFonts w:ascii="Calibri" w:eastAsia="Times New Roman" w:hAnsi="Calibri" w:cs="Calibri"/>
                <w:b/>
                <w:color w:val="000000"/>
                <w:sz w:val="22"/>
                <w:szCs w:val="22"/>
                <w:lang w:eastAsia="en-GB"/>
              </w:rPr>
            </w:pPr>
            <w:r w:rsidRPr="006D0287">
              <w:rPr>
                <w:b/>
                <w:sz w:val="20"/>
                <w:szCs w:val="20"/>
              </w:rPr>
              <w:t xml:space="preserve">Organisational policies </w:t>
            </w:r>
          </w:p>
        </w:tc>
        <w:tc>
          <w:tcPr>
            <w:tcW w:w="1434" w:type="dxa"/>
            <w:shd w:val="clear" w:color="auto" w:fill="95B3D7" w:themeFill="accent1" w:themeFillTint="99"/>
            <w:noWrap/>
            <w:hideMark/>
          </w:tcPr>
          <w:p w:rsidR="00281E5D" w:rsidRPr="006D0287" w:rsidRDefault="00281E5D" w:rsidP="00281E5D">
            <w:pPr>
              <w:rPr>
                <w:rFonts w:ascii="Calibri" w:eastAsia="Times New Roman" w:hAnsi="Calibri" w:cs="Calibri"/>
                <w:b/>
                <w:color w:val="FFFFFF" w:themeColor="background1"/>
                <w:sz w:val="22"/>
                <w:szCs w:val="22"/>
                <w:lang w:eastAsia="en-GB"/>
              </w:rPr>
            </w:pPr>
            <w:r w:rsidRPr="006D0287">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Energy efficient, environmentally friendly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8 </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Too financially focused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Mix of tenants or tenures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Service generally / declined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Bedroom tax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Build more homes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B36BEE">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Senior Management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334D73">
        <w:trPr>
          <w:trHeight w:val="300"/>
        </w:trPr>
        <w:tc>
          <w:tcPr>
            <w:tcW w:w="4940" w:type="dxa"/>
            <w:shd w:val="clear" w:color="auto" w:fill="95B3D7" w:themeFill="accent1" w:themeFillTint="99"/>
            <w:noWrap/>
            <w:hideMark/>
          </w:tcPr>
          <w:p w:rsidR="00281E5D" w:rsidRPr="006D0287" w:rsidRDefault="00281E5D" w:rsidP="00281E5D">
            <w:pPr>
              <w:rPr>
                <w:rFonts w:ascii="Calibri" w:eastAsia="Times New Roman" w:hAnsi="Calibri" w:cs="Calibri"/>
                <w:b/>
                <w:color w:val="000000"/>
                <w:sz w:val="22"/>
                <w:szCs w:val="22"/>
                <w:lang w:eastAsia="en-GB"/>
              </w:rPr>
            </w:pPr>
            <w:r w:rsidRPr="006D0287">
              <w:rPr>
                <w:b/>
                <w:sz w:val="20"/>
                <w:szCs w:val="20"/>
              </w:rPr>
              <w:t xml:space="preserve">Moving </w:t>
            </w:r>
          </w:p>
        </w:tc>
        <w:tc>
          <w:tcPr>
            <w:tcW w:w="1434" w:type="dxa"/>
            <w:shd w:val="clear" w:color="auto" w:fill="95B3D7" w:themeFill="accent1" w:themeFillTint="99"/>
            <w:noWrap/>
            <w:hideMark/>
          </w:tcPr>
          <w:p w:rsidR="00281E5D" w:rsidRPr="006D0287" w:rsidRDefault="00281E5D" w:rsidP="00281E5D">
            <w:pPr>
              <w:rPr>
                <w:rFonts w:ascii="Calibri" w:eastAsia="Times New Roman" w:hAnsi="Calibri" w:cs="Calibri"/>
                <w:b/>
                <w:color w:val="FFFFFF" w:themeColor="background1"/>
                <w:sz w:val="22"/>
                <w:szCs w:val="22"/>
                <w:lang w:eastAsia="en-GB"/>
              </w:rPr>
            </w:pPr>
            <w:r w:rsidRPr="006D0287">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281E5D" w:rsidRPr="000931A3" w:rsidTr="00334D7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Need larger property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6 </w:t>
            </w:r>
          </w:p>
        </w:tc>
      </w:tr>
      <w:tr w:rsidR="00281E5D" w:rsidRPr="000931A3" w:rsidTr="00334D7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Health issues require a move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4 </w:t>
            </w:r>
          </w:p>
        </w:tc>
      </w:tr>
      <w:tr w:rsidR="00281E5D" w:rsidRPr="000931A3" w:rsidTr="00334D7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Need a smaller property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334D7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Do not like the neighbourhood, move to better area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334D7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Move away from neighbours, noisy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352C93">
        <w:trPr>
          <w:trHeight w:val="300"/>
        </w:trPr>
        <w:tc>
          <w:tcPr>
            <w:tcW w:w="4940" w:type="dxa"/>
            <w:shd w:val="clear" w:color="auto" w:fill="95B3D7" w:themeFill="accent1" w:themeFillTint="99"/>
            <w:noWrap/>
            <w:hideMark/>
          </w:tcPr>
          <w:p w:rsidR="00281E5D" w:rsidRPr="006D0287" w:rsidRDefault="00281E5D" w:rsidP="00281E5D">
            <w:pPr>
              <w:rPr>
                <w:rFonts w:ascii="Calibri" w:eastAsia="Times New Roman" w:hAnsi="Calibri" w:cs="Calibri"/>
                <w:b/>
                <w:color w:val="000000"/>
                <w:sz w:val="22"/>
                <w:szCs w:val="22"/>
                <w:lang w:eastAsia="en-GB"/>
              </w:rPr>
            </w:pPr>
            <w:r w:rsidRPr="006D0287">
              <w:rPr>
                <w:b/>
                <w:sz w:val="20"/>
                <w:szCs w:val="20"/>
              </w:rPr>
              <w:t xml:space="preserve">Local area services </w:t>
            </w:r>
          </w:p>
        </w:tc>
        <w:tc>
          <w:tcPr>
            <w:tcW w:w="1434" w:type="dxa"/>
            <w:shd w:val="clear" w:color="auto" w:fill="95B3D7" w:themeFill="accent1" w:themeFillTint="99"/>
            <w:noWrap/>
            <w:hideMark/>
          </w:tcPr>
          <w:p w:rsidR="00281E5D" w:rsidRPr="006D0287" w:rsidRDefault="00281E5D" w:rsidP="00281E5D">
            <w:pPr>
              <w:rPr>
                <w:rFonts w:ascii="Calibri" w:eastAsia="Times New Roman" w:hAnsi="Calibri" w:cs="Calibri"/>
                <w:b/>
                <w:color w:val="FFFFFF" w:themeColor="background1"/>
                <w:sz w:val="22"/>
                <w:szCs w:val="22"/>
                <w:lang w:eastAsia="en-GB"/>
              </w:rPr>
            </w:pPr>
            <w:r w:rsidRPr="006D0287">
              <w:rPr>
                <w:b/>
                <w:sz w:val="20"/>
                <w:szCs w:val="20"/>
              </w:rPr>
              <w:t xml:space="preserve">0% </w:t>
            </w:r>
            <w:r w:rsidR="006D0287" w:rsidRPr="000931A3">
              <w:rPr>
                <w:rFonts w:ascii="Calibri" w:eastAsia="Times New Roman" w:hAnsi="Calibri" w:cs="Calibri"/>
                <w:b/>
                <w:color w:val="000000"/>
                <w:sz w:val="22"/>
                <w:szCs w:val="22"/>
                <w:lang w:eastAsia="en-GB"/>
              </w:rPr>
              <w:t>of total</w:t>
            </w:r>
          </w:p>
        </w:tc>
      </w:tr>
      <w:tr w:rsidR="00281E5D" w:rsidRPr="000931A3" w:rsidTr="00352C9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Local transport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3 </w:t>
            </w:r>
          </w:p>
        </w:tc>
      </w:tr>
      <w:tr w:rsidR="00281E5D" w:rsidRPr="000931A3" w:rsidTr="00352C9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Youth facilities/centres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r w:rsidR="00281E5D" w:rsidRPr="000931A3" w:rsidTr="00352C9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Play areas for children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352C93">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Local facilities (shops etc.)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bl>
    <w:p w:rsidR="006D0287" w:rsidRDefault="006D0287"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6D0287" w:rsidRPr="000931A3" w:rsidTr="00096F20">
        <w:trPr>
          <w:trHeight w:val="300"/>
        </w:trPr>
        <w:tc>
          <w:tcPr>
            <w:tcW w:w="4940" w:type="dxa"/>
            <w:shd w:val="clear" w:color="auto" w:fill="95B3D7" w:themeFill="accent1" w:themeFillTint="99"/>
            <w:noWrap/>
            <w:hideMark/>
          </w:tcPr>
          <w:p w:rsidR="006D0287" w:rsidRPr="006D0287" w:rsidRDefault="006D0287" w:rsidP="006D0287">
            <w:pPr>
              <w:rPr>
                <w:rFonts w:ascii="Calibri" w:eastAsia="Times New Roman" w:hAnsi="Calibri" w:cs="Calibri"/>
                <w:b/>
                <w:color w:val="000000"/>
                <w:sz w:val="22"/>
                <w:szCs w:val="22"/>
                <w:lang w:eastAsia="en-GB"/>
              </w:rPr>
            </w:pPr>
            <w:r w:rsidRPr="006D0287">
              <w:rPr>
                <w:b/>
                <w:sz w:val="20"/>
                <w:szCs w:val="20"/>
              </w:rPr>
              <w:t xml:space="preserve">Other </w:t>
            </w:r>
          </w:p>
        </w:tc>
        <w:tc>
          <w:tcPr>
            <w:tcW w:w="1434" w:type="dxa"/>
            <w:shd w:val="clear" w:color="auto" w:fill="95B3D7" w:themeFill="accent1" w:themeFillTint="99"/>
            <w:noWrap/>
            <w:hideMark/>
          </w:tcPr>
          <w:p w:rsidR="006D0287" w:rsidRPr="006D0287" w:rsidRDefault="006D0287" w:rsidP="006D0287">
            <w:pPr>
              <w:rPr>
                <w:rFonts w:ascii="Calibri" w:eastAsia="Times New Roman" w:hAnsi="Calibri" w:cs="Calibri"/>
                <w:b/>
                <w:color w:val="FFFFFF" w:themeColor="background1"/>
                <w:sz w:val="22"/>
                <w:szCs w:val="22"/>
                <w:lang w:eastAsia="en-GB"/>
              </w:rPr>
            </w:pPr>
            <w:r w:rsidRPr="006D0287">
              <w:rPr>
                <w:b/>
                <w:sz w:val="20"/>
                <w:szCs w:val="20"/>
              </w:rPr>
              <w:t xml:space="preserve">12% </w:t>
            </w:r>
            <w:r w:rsidRPr="000931A3">
              <w:rPr>
                <w:rFonts w:ascii="Calibri" w:eastAsia="Times New Roman" w:hAnsi="Calibri" w:cs="Calibri"/>
                <w:b/>
                <w:color w:val="000000"/>
                <w:sz w:val="22"/>
                <w:szCs w:val="22"/>
                <w:lang w:eastAsia="en-GB"/>
              </w:rPr>
              <w:t>of total</w:t>
            </w:r>
          </w:p>
        </w:tc>
      </w:tr>
      <w:tr w:rsidR="006D0287" w:rsidRPr="000931A3" w:rsidTr="00096F20">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No comment/suggestions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142 </w:t>
            </w:r>
          </w:p>
        </w:tc>
      </w:tr>
      <w:tr w:rsidR="006D0287" w:rsidRPr="000931A3" w:rsidTr="00096F20">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Other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26 </w:t>
            </w:r>
          </w:p>
        </w:tc>
      </w:tr>
      <w:tr w:rsidR="006D0287" w:rsidRPr="000931A3" w:rsidTr="00096F20">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Don’t know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14 </w:t>
            </w:r>
          </w:p>
        </w:tc>
      </w:tr>
      <w:tr w:rsidR="006D0287" w:rsidRPr="000931A3" w:rsidTr="00096F20">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General negative comment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8 </w:t>
            </w:r>
          </w:p>
        </w:tc>
      </w:tr>
      <w:tr w:rsidR="006D0287" w:rsidRPr="000931A3" w:rsidTr="00096F20">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Neutral comment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4 </w:t>
            </w:r>
          </w:p>
        </w:tc>
      </w:tr>
      <w:tr w:rsidR="006D0287" w:rsidRPr="000931A3" w:rsidTr="00096F20">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Already commented in earlier question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1 </w:t>
            </w:r>
          </w:p>
        </w:tc>
      </w:tr>
    </w:tbl>
    <w:p w:rsidR="00281E5D" w:rsidRDefault="00281E5D" w:rsidP="00501941">
      <w:pPr>
        <w:rPr>
          <w:b/>
        </w:rPr>
      </w:pPr>
    </w:p>
    <w:p w:rsidR="00281E5D" w:rsidRPr="006B0D33" w:rsidRDefault="00281E5D" w:rsidP="00501941">
      <w:pPr>
        <w:rPr>
          <w:b/>
        </w:rPr>
      </w:pPr>
    </w:p>
    <w:sectPr w:rsidR="00281E5D" w:rsidRPr="006B0D3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E44A7" w16cex:dateUtc="2021-11-22T08:51:36.71Z"/>
  <w16cex:commentExtensible w16cex:durableId="417FE1D1" w16cex:dateUtc="2021-11-22T08:53:14.936Z"/>
  <w16cex:commentExtensible w16cex:durableId="761E3B2B" w16cex:dateUtc="2021-11-22T08:55:46.173Z"/>
  <w16cex:commentExtensible w16cex:durableId="74BFB482" w16cex:dateUtc="2021-11-22T08:57:09.412Z"/>
</w16cex:commentsExtensible>
</file>

<file path=word/commentsIds.xml><?xml version="1.0" encoding="utf-8"?>
<w16cid:commentsIds xmlns:mc="http://schemas.openxmlformats.org/markup-compatibility/2006" xmlns:w16cid="http://schemas.microsoft.com/office/word/2016/wordml/cid" mc:Ignorable="w16cid">
  <w16cid:commentId w16cid:paraId="63764D9D" w16cid:durableId="747E44A7"/>
  <w16cid:commentId w16cid:paraId="71661CDC" w16cid:durableId="417FE1D1"/>
  <w16cid:commentId w16cid:paraId="230A1BD5" w16cid:durableId="761E3B2B"/>
  <w16cid:commentId w16cid:paraId="353C597D" w16cid:durableId="74BFB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60" w:rsidRDefault="00DA3160" w:rsidP="00C6079B">
      <w:r>
        <w:separator/>
      </w:r>
    </w:p>
  </w:endnote>
  <w:endnote w:type="continuationSeparator" w:id="0">
    <w:p w:rsidR="00DA3160" w:rsidRDefault="00DA3160" w:rsidP="00C6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60" w:rsidRDefault="00DA3160" w:rsidP="00C6079B">
      <w:r>
        <w:separator/>
      </w:r>
    </w:p>
  </w:footnote>
  <w:footnote w:type="continuationSeparator" w:id="0">
    <w:p w:rsidR="00DA3160" w:rsidRDefault="00DA3160" w:rsidP="00C60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8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60F21"/>
    <w:multiLevelType w:val="hybridMultilevel"/>
    <w:tmpl w:val="323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37F5"/>
    <w:multiLevelType w:val="hybridMultilevel"/>
    <w:tmpl w:val="E4FA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2E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174A8"/>
    <w:multiLevelType w:val="hybridMultilevel"/>
    <w:tmpl w:val="4C3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07C18"/>
    <w:multiLevelType w:val="hybridMultilevel"/>
    <w:tmpl w:val="6F8267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5BB603D"/>
    <w:multiLevelType w:val="hybridMultilevel"/>
    <w:tmpl w:val="A3A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1286C"/>
    <w:multiLevelType w:val="hybridMultilevel"/>
    <w:tmpl w:val="C4B4BC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C1B5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A70D3A"/>
    <w:multiLevelType w:val="hybridMultilevel"/>
    <w:tmpl w:val="2406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856CAA"/>
    <w:multiLevelType w:val="hybridMultilevel"/>
    <w:tmpl w:val="B91AB75A"/>
    <w:lvl w:ilvl="0" w:tplc="7C204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3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EA57B6"/>
    <w:multiLevelType w:val="hybridMultilevel"/>
    <w:tmpl w:val="CE9CCEDA"/>
    <w:lvl w:ilvl="0" w:tplc="1298B4DA">
      <w:start w:val="1"/>
      <w:numFmt w:val="decimal"/>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2F6657"/>
    <w:multiLevelType w:val="hybridMultilevel"/>
    <w:tmpl w:val="D5D4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45926"/>
    <w:multiLevelType w:val="hybridMultilevel"/>
    <w:tmpl w:val="84FA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8465F"/>
    <w:multiLevelType w:val="hybridMultilevel"/>
    <w:tmpl w:val="F3D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6"/>
  </w:num>
  <w:num w:numId="5">
    <w:abstractNumId w:val="1"/>
  </w:num>
  <w:num w:numId="6">
    <w:abstractNumId w:val="5"/>
  </w:num>
  <w:num w:numId="7">
    <w:abstractNumId w:val="7"/>
  </w:num>
  <w:num w:numId="8">
    <w:abstractNumId w:val="4"/>
  </w:num>
  <w:num w:numId="9">
    <w:abstractNumId w:val="2"/>
  </w:num>
  <w:num w:numId="10">
    <w:abstractNumId w:val="13"/>
  </w:num>
  <w:num w:numId="11">
    <w:abstractNumId w:val="12"/>
  </w:num>
  <w:num w:numId="12">
    <w:abstractNumId w:val="10"/>
  </w:num>
  <w:num w:numId="13">
    <w:abstractNumId w:val="8"/>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B3"/>
    <w:rsid w:val="0000537D"/>
    <w:rsid w:val="00020F70"/>
    <w:rsid w:val="000613A1"/>
    <w:rsid w:val="000760E0"/>
    <w:rsid w:val="000931A3"/>
    <w:rsid w:val="00094AF0"/>
    <w:rsid w:val="000B4310"/>
    <w:rsid w:val="000F27C8"/>
    <w:rsid w:val="00112281"/>
    <w:rsid w:val="00120942"/>
    <w:rsid w:val="0012385B"/>
    <w:rsid w:val="0014030F"/>
    <w:rsid w:val="00152546"/>
    <w:rsid w:val="00170805"/>
    <w:rsid w:val="001A60F5"/>
    <w:rsid w:val="001B08B8"/>
    <w:rsid w:val="001C184C"/>
    <w:rsid w:val="001E185B"/>
    <w:rsid w:val="00250BF4"/>
    <w:rsid w:val="00254EFE"/>
    <w:rsid w:val="00281E5D"/>
    <w:rsid w:val="00282AE2"/>
    <w:rsid w:val="0028397A"/>
    <w:rsid w:val="002A1E65"/>
    <w:rsid w:val="002D3256"/>
    <w:rsid w:val="003039AE"/>
    <w:rsid w:val="00320D6E"/>
    <w:rsid w:val="00333AD9"/>
    <w:rsid w:val="00344A27"/>
    <w:rsid w:val="00345E65"/>
    <w:rsid w:val="003569AF"/>
    <w:rsid w:val="00357B4F"/>
    <w:rsid w:val="00361AEE"/>
    <w:rsid w:val="003A38F1"/>
    <w:rsid w:val="003E0623"/>
    <w:rsid w:val="004000D7"/>
    <w:rsid w:val="0041481A"/>
    <w:rsid w:val="004160E5"/>
    <w:rsid w:val="00463060"/>
    <w:rsid w:val="004A4213"/>
    <w:rsid w:val="004A5D9F"/>
    <w:rsid w:val="004B1CFA"/>
    <w:rsid w:val="004B3515"/>
    <w:rsid w:val="00501941"/>
    <w:rsid w:val="00502A71"/>
    <w:rsid w:val="00504E43"/>
    <w:rsid w:val="0053413E"/>
    <w:rsid w:val="005530E5"/>
    <w:rsid w:val="005657E0"/>
    <w:rsid w:val="0057084F"/>
    <w:rsid w:val="00591BDB"/>
    <w:rsid w:val="005C002D"/>
    <w:rsid w:val="005F17FD"/>
    <w:rsid w:val="005F5483"/>
    <w:rsid w:val="006104F7"/>
    <w:rsid w:val="00613C41"/>
    <w:rsid w:val="00627530"/>
    <w:rsid w:val="0063560E"/>
    <w:rsid w:val="00647F37"/>
    <w:rsid w:val="00655CA6"/>
    <w:rsid w:val="00664F30"/>
    <w:rsid w:val="00675021"/>
    <w:rsid w:val="0069390A"/>
    <w:rsid w:val="00696BDF"/>
    <w:rsid w:val="006A235A"/>
    <w:rsid w:val="006A2AAF"/>
    <w:rsid w:val="006A692A"/>
    <w:rsid w:val="006B0D33"/>
    <w:rsid w:val="006D0287"/>
    <w:rsid w:val="006D64D0"/>
    <w:rsid w:val="006F0929"/>
    <w:rsid w:val="00704711"/>
    <w:rsid w:val="0070689D"/>
    <w:rsid w:val="00731794"/>
    <w:rsid w:val="007514D3"/>
    <w:rsid w:val="00770F51"/>
    <w:rsid w:val="00771B4A"/>
    <w:rsid w:val="007908F4"/>
    <w:rsid w:val="0079265C"/>
    <w:rsid w:val="00795BC9"/>
    <w:rsid w:val="007C508F"/>
    <w:rsid w:val="007C73DA"/>
    <w:rsid w:val="008164BA"/>
    <w:rsid w:val="00820D13"/>
    <w:rsid w:val="008314E9"/>
    <w:rsid w:val="00841EE8"/>
    <w:rsid w:val="0087122A"/>
    <w:rsid w:val="00896BB8"/>
    <w:rsid w:val="008A22C6"/>
    <w:rsid w:val="008D6B95"/>
    <w:rsid w:val="00952DEA"/>
    <w:rsid w:val="00973143"/>
    <w:rsid w:val="00991621"/>
    <w:rsid w:val="009F31DA"/>
    <w:rsid w:val="009F44B9"/>
    <w:rsid w:val="00A04BEF"/>
    <w:rsid w:val="00A25401"/>
    <w:rsid w:val="00A25566"/>
    <w:rsid w:val="00A46E77"/>
    <w:rsid w:val="00A47EE1"/>
    <w:rsid w:val="00AB58A1"/>
    <w:rsid w:val="00AC0E3E"/>
    <w:rsid w:val="00AC397E"/>
    <w:rsid w:val="00B072B3"/>
    <w:rsid w:val="00B47C53"/>
    <w:rsid w:val="00B53B87"/>
    <w:rsid w:val="00B76CE1"/>
    <w:rsid w:val="00B7745B"/>
    <w:rsid w:val="00BE13A1"/>
    <w:rsid w:val="00BE4C94"/>
    <w:rsid w:val="00C05C8A"/>
    <w:rsid w:val="00C07F80"/>
    <w:rsid w:val="00C16714"/>
    <w:rsid w:val="00C32331"/>
    <w:rsid w:val="00C34E67"/>
    <w:rsid w:val="00C37E42"/>
    <w:rsid w:val="00C6079B"/>
    <w:rsid w:val="00C624A7"/>
    <w:rsid w:val="00C92FF7"/>
    <w:rsid w:val="00CA55D7"/>
    <w:rsid w:val="00CD3C08"/>
    <w:rsid w:val="00CE731E"/>
    <w:rsid w:val="00CF2977"/>
    <w:rsid w:val="00D04E86"/>
    <w:rsid w:val="00D21F63"/>
    <w:rsid w:val="00D25383"/>
    <w:rsid w:val="00D4010C"/>
    <w:rsid w:val="00D567FE"/>
    <w:rsid w:val="00D63E55"/>
    <w:rsid w:val="00DA3160"/>
    <w:rsid w:val="00DB36A1"/>
    <w:rsid w:val="00E366C4"/>
    <w:rsid w:val="00E372A0"/>
    <w:rsid w:val="00E407C3"/>
    <w:rsid w:val="00E61C39"/>
    <w:rsid w:val="00E80A06"/>
    <w:rsid w:val="00E81417"/>
    <w:rsid w:val="00E9659B"/>
    <w:rsid w:val="00EC3BB5"/>
    <w:rsid w:val="00EF4AF1"/>
    <w:rsid w:val="00F67459"/>
    <w:rsid w:val="00F740DC"/>
    <w:rsid w:val="00FA426F"/>
    <w:rsid w:val="00FD31EC"/>
    <w:rsid w:val="00FD3A85"/>
    <w:rsid w:val="00FD6E51"/>
    <w:rsid w:val="00FE15DA"/>
    <w:rsid w:val="137000C2"/>
    <w:rsid w:val="1415B050"/>
    <w:rsid w:val="66B96EB2"/>
    <w:rsid w:val="799D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4D67"/>
  <w15:chartTrackingRefBased/>
  <w15:docId w15:val="{20CE641C-7BF4-4E63-9914-F9A95FB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D"/>
    <w:pPr>
      <w:ind w:left="720"/>
      <w:contextualSpacing/>
    </w:pPr>
  </w:style>
  <w:style w:type="character" w:styleId="CommentReference">
    <w:name w:val="annotation reference"/>
    <w:basedOn w:val="DefaultParagraphFont"/>
    <w:uiPriority w:val="99"/>
    <w:semiHidden/>
    <w:unhideWhenUsed/>
    <w:rsid w:val="004A5D9F"/>
    <w:rPr>
      <w:sz w:val="16"/>
      <w:szCs w:val="16"/>
    </w:rPr>
  </w:style>
  <w:style w:type="paragraph" w:styleId="CommentText">
    <w:name w:val="annotation text"/>
    <w:basedOn w:val="Normal"/>
    <w:link w:val="CommentTextChar"/>
    <w:uiPriority w:val="99"/>
    <w:semiHidden/>
    <w:unhideWhenUsed/>
    <w:rsid w:val="004A5D9F"/>
    <w:rPr>
      <w:sz w:val="20"/>
      <w:szCs w:val="20"/>
    </w:rPr>
  </w:style>
  <w:style w:type="character" w:customStyle="1" w:styleId="CommentTextChar">
    <w:name w:val="Comment Text Char"/>
    <w:basedOn w:val="DefaultParagraphFont"/>
    <w:link w:val="CommentText"/>
    <w:uiPriority w:val="99"/>
    <w:semiHidden/>
    <w:rsid w:val="004A5D9F"/>
    <w:rPr>
      <w:sz w:val="20"/>
      <w:szCs w:val="20"/>
    </w:rPr>
  </w:style>
  <w:style w:type="paragraph" w:styleId="CommentSubject">
    <w:name w:val="annotation subject"/>
    <w:basedOn w:val="CommentText"/>
    <w:next w:val="CommentText"/>
    <w:link w:val="CommentSubjectChar"/>
    <w:uiPriority w:val="99"/>
    <w:semiHidden/>
    <w:unhideWhenUsed/>
    <w:rsid w:val="004A5D9F"/>
    <w:rPr>
      <w:b/>
      <w:bCs/>
    </w:rPr>
  </w:style>
  <w:style w:type="character" w:customStyle="1" w:styleId="CommentSubjectChar">
    <w:name w:val="Comment Subject Char"/>
    <w:basedOn w:val="CommentTextChar"/>
    <w:link w:val="CommentSubject"/>
    <w:uiPriority w:val="99"/>
    <w:semiHidden/>
    <w:rsid w:val="004A5D9F"/>
    <w:rPr>
      <w:b/>
      <w:bCs/>
      <w:sz w:val="20"/>
      <w:szCs w:val="20"/>
    </w:rPr>
  </w:style>
  <w:style w:type="paragraph" w:styleId="BalloonText">
    <w:name w:val="Balloon Text"/>
    <w:basedOn w:val="Normal"/>
    <w:link w:val="BalloonTextChar"/>
    <w:uiPriority w:val="99"/>
    <w:semiHidden/>
    <w:unhideWhenUsed/>
    <w:rsid w:val="004A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9F"/>
    <w:rPr>
      <w:rFonts w:ascii="Segoe UI" w:hAnsi="Segoe UI" w:cs="Segoe UI"/>
      <w:sz w:val="18"/>
      <w:szCs w:val="18"/>
    </w:rPr>
  </w:style>
  <w:style w:type="table" w:styleId="TableGrid">
    <w:name w:val="Table Grid"/>
    <w:basedOn w:val="TableNormal"/>
    <w:uiPriority w:val="59"/>
    <w:rsid w:val="0025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079B"/>
    <w:rPr>
      <w:sz w:val="20"/>
      <w:szCs w:val="20"/>
    </w:rPr>
  </w:style>
  <w:style w:type="character" w:customStyle="1" w:styleId="FootnoteTextChar">
    <w:name w:val="Footnote Text Char"/>
    <w:basedOn w:val="DefaultParagraphFont"/>
    <w:link w:val="FootnoteText"/>
    <w:uiPriority w:val="99"/>
    <w:semiHidden/>
    <w:rsid w:val="00C6079B"/>
    <w:rPr>
      <w:sz w:val="20"/>
      <w:szCs w:val="20"/>
    </w:rPr>
  </w:style>
  <w:style w:type="character" w:styleId="FootnoteReference">
    <w:name w:val="footnote reference"/>
    <w:basedOn w:val="DefaultParagraphFont"/>
    <w:uiPriority w:val="99"/>
    <w:semiHidden/>
    <w:unhideWhenUsed/>
    <w:rsid w:val="00C6079B"/>
    <w:rPr>
      <w:vertAlign w:val="superscript"/>
    </w:rPr>
  </w:style>
  <w:style w:type="character" w:customStyle="1" w:styleId="Firstpagetablebold">
    <w:name w:val="First page table: bold"/>
    <w:qFormat/>
    <w:rsid w:val="00E372A0"/>
    <w:rPr>
      <w:rFonts w:ascii="Arial" w:hAnsi="Arial"/>
      <w:b/>
      <w:sz w:val="24"/>
    </w:rPr>
  </w:style>
  <w:style w:type="character" w:styleId="Hyperlink">
    <w:name w:val="Hyperlink"/>
    <w:aliases w:val="set Hyperlink"/>
    <w:qFormat/>
    <w:rsid w:val="006D0287"/>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1597">
      <w:bodyDiv w:val="1"/>
      <w:marLeft w:val="0"/>
      <w:marRight w:val="0"/>
      <w:marTop w:val="0"/>
      <w:marBottom w:val="0"/>
      <w:divBdr>
        <w:top w:val="none" w:sz="0" w:space="0" w:color="auto"/>
        <w:left w:val="none" w:sz="0" w:space="0" w:color="auto"/>
        <w:bottom w:val="none" w:sz="0" w:space="0" w:color="auto"/>
        <w:right w:val="none" w:sz="0" w:space="0" w:color="auto"/>
      </w:divBdr>
    </w:div>
    <w:div w:id="1777796572">
      <w:bodyDiv w:val="1"/>
      <w:marLeft w:val="0"/>
      <w:marRight w:val="0"/>
      <w:marTop w:val="0"/>
      <w:marBottom w:val="0"/>
      <w:divBdr>
        <w:top w:val="none" w:sz="0" w:space="0" w:color="auto"/>
        <w:left w:val="none" w:sz="0" w:space="0" w:color="auto"/>
        <w:bottom w:val="none" w:sz="0" w:space="0" w:color="auto"/>
        <w:right w:val="none" w:sz="0" w:space="0" w:color="auto"/>
      </w:divBdr>
    </w:div>
    <w:div w:id="19406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6dc09878226c4c8f" Type="http://schemas.microsoft.com/office/2016/09/relationships/commentsIds" Target="commentsIds.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1d8d920cfdb0483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6" ma:contentTypeDescription="Create a new document." ma:contentTypeScope="" ma:versionID="ae6e01f74f12565810901884ad0a4538">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4c24b3a526703126719924b815016717"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E6AE-04D7-499B-ABBB-1445214EE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A9D3BC-A5A9-4251-A3D6-9E492FCE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58C67-7B6C-405C-865C-336720A7F02A}">
  <ds:schemaRefs>
    <ds:schemaRef ds:uri="http://schemas.microsoft.com/sharepoint/v3/contenttype/forms"/>
  </ds:schemaRefs>
</ds:datastoreItem>
</file>

<file path=customXml/itemProps4.xml><?xml version="1.0" encoding="utf-8"?>
<ds:datastoreItem xmlns:ds="http://schemas.openxmlformats.org/officeDocument/2006/customXml" ds:itemID="{01AC7B18-3746-4413-990A-751C2271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Bill</dc:creator>
  <cp:keywords/>
  <dc:description/>
  <cp:lastModifiedBy>GRAVES Bill</cp:lastModifiedBy>
  <cp:revision>6</cp:revision>
  <dcterms:created xsi:type="dcterms:W3CDTF">2021-12-07T08:48:00Z</dcterms:created>
  <dcterms:modified xsi:type="dcterms:W3CDTF">2021-12-08T14:10:00Z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